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Устройство ECCM 3FFT — перечень блоков (22 позиции)</w:t>
      </w:r>
    </w:p>
    <w:p>
      <w:pPr>
        <w:ind w:left="504"/>
      </w:pPr>
      <w:r>
        <w:rPr>
          <w:i/>
          <w:sz w:val="22"/>
        </w:rPr>
        <w:t xml:space="preserve">Рабочий перечень под заявку </w:t>
      </w:r>
      <w:r>
        <w:rPr>
          <w:rFonts w:ascii="Consolas" w:hAnsi="Consolas"/>
          <w:i/>
          <w:sz w:val="22"/>
        </w:rPr>
        <w:t>zayavka_USTROJSTVO.md</w:t>
      </w:r>
      <w:r>
        <w:rPr>
          <w:i/>
          <w:sz w:val="22"/>
        </w:rPr>
        <w:t>. Нумерация сквозная, соответствует фиг. 1 (блоки 1–20) и фиг. 2 (блоки 3, 5, 8–10, 13, 14, 21, 22).</w:t>
      </w:r>
    </w:p>
    <w:p>
      <w:pPr>
        <w:jc w:val="both"/>
      </w:pPr>
      <w:r>
        <w:t xml:space="preserve">1 — </w:t>
      </w:r>
      <w:r>
        <w:rPr>
          <w:b/>
        </w:rPr>
        <w:t>Блок управления системой.</w:t>
      </w:r>
      <w:r>
        <w:t xml:space="preserve"> Задаёт тип зондирующего сигнала (ЛЧМ / АМ / ФМ), его параметры и время воздействия на объект; принимает от блока 4 разреженную матрицу токенов для целеуказания и формирования следующего такта.</w:t>
      </w:r>
    </w:p>
    <w:p>
      <w:pPr>
        <w:jc w:val="both"/>
      </w:pPr>
      <w:r>
        <w:t xml:space="preserve">2 — </w:t>
      </w:r>
      <w:r>
        <w:rPr>
          <w:b/>
        </w:rPr>
        <w:t>Радиочастотный тракт.</w:t>
      </w:r>
      <w:r>
        <w:t xml:space="preserve"> Цифро-аналоговое формирование зондирующего сигнала, излучение и приём активной фазированной антенной решёткой, аналого-цифровое преобразование, децимация с заданным шагом и — для ЛЧМ — гетеродинное сжатие (дечирпирование).</w:t>
      </w:r>
    </w:p>
    <w:p>
      <w:pPr>
        <w:jc w:val="both"/>
      </w:pPr>
      <w:r>
        <w:t xml:space="preserve">3 — </w:t>
      </w:r>
      <w:r>
        <w:rPr>
          <w:b/>
        </w:rPr>
        <w:t>Блок записи данных на ГПУ.</w:t>
      </w:r>
      <w:r>
        <w:t xml:space="preserve"> Приём данных по оптическому каналу через приёмный канал и запись массива Q антенн по l комплексных отсчётов (Q·l, каждый отсчёт — два вещественных числа) последовательно по антеннам; раздача данных на соответствующий интерфейсный блок по типу сигнала. В исполнении с несколькими вычислителями приёмных каналов несколько, каждый конструктивно сопряжён со своим вычислителем (общий интерфейс, общий узел памяти) и принимает </w:t>
      </w:r>
      <w:r>
        <w:rPr>
          <w:b/>
        </w:rPr>
        <w:t>свою подрешётку</w:t>
      </w:r>
      <w:r>
        <w:t xml:space="preserve"> элементов решётки; блок 3 каждого вычислителя пишет данные непосредственно в его память, минуя общий буфер управляющей машины.</w:t>
      </w:r>
    </w:p>
    <w:p>
      <w:pPr>
        <w:jc w:val="both"/>
      </w:pPr>
      <w:r>
        <w:t xml:space="preserve">4 — </w:t>
      </w:r>
      <w:r>
        <w:rPr>
          <w:b/>
        </w:rPr>
        <w:t>Блок управления потоком данных и алгоритмами на ГПУ.</w:t>
      </w:r>
      <w:r>
        <w:t xml:space="preserve"> Задаёт, какой интерфейс работает, размеры и позиции обработки; собирает результаты и передаёт разреженную матрицу токенов в блок 1. В распределённом исполнении дополнительно задаёт расписание перераспределения и размер порции (блоку 21) и глубину участка группировки (блоку 22).</w:t>
      </w:r>
    </w:p>
    <w:p>
      <w:pPr>
        <w:jc w:val="both"/>
      </w:pPr>
      <w:r>
        <w:t xml:space="preserve">5 — </w:t>
      </w:r>
      <w:r>
        <w:rPr>
          <w:b/>
        </w:rPr>
        <w:t>Интерфейс ЛЧМ.</w:t>
      </w:r>
      <w:r>
        <w:t xml:space="preserve"> Дальностное преобразование Фурье по каждому каналу после дечирпирования; формирует ось дальности. Шкала односторонняя: число различимых бинов вдвое меньше размера преобразования.</w:t>
      </w:r>
    </w:p>
    <w:p>
      <w:pPr>
        <w:jc w:val="both"/>
      </w:pPr>
      <w:r>
        <w:t xml:space="preserve">6 — </w:t>
      </w:r>
      <w:r>
        <w:rPr>
          <w:b/>
        </w:rPr>
        <w:t>Интерфейс АМ.</w:t>
      </w:r>
      <w:r>
        <w:t xml:space="preserve"> Формирование объёмного участка «апертура×апертура×дальность» (i×j×L) из массива Q·l с перекрытием по дальности; размеры участка и перекрытие регулируются. При необходимости выполняется смешанный анализ участками разного размера: на участках, где в предыдущем такте было пусто, берут крупные, чтобы не потерять одиночный всплеск.</w:t>
      </w:r>
    </w:p>
    <w:p>
      <w:pPr>
        <w:jc w:val="both"/>
      </w:pPr>
      <w:r>
        <w:t xml:space="preserve">7 — </w:t>
      </w:r>
      <w:r>
        <w:rPr>
          <w:b/>
        </w:rPr>
        <w:t>Интерфейс ФМ.</w:t>
      </w:r>
      <w:r>
        <w:t xml:space="preserve"> Спектр принятого сигнала (преобразование Фурье принятых лучей).</w:t>
      </w:r>
    </w:p>
    <w:p>
      <w:pPr>
        <w:jc w:val="both"/>
      </w:pPr>
      <w:r>
        <w:t xml:space="preserve">8 — </w:t>
      </w:r>
      <w:r>
        <w:rPr>
          <w:b/>
        </w:rPr>
        <w:t>Формирование апертуры.</w:t>
      </w:r>
      <w:r>
        <w:t xml:space="preserve"> Переформатирование Q·l в апертуру i×j на каждый бин дальности (тракт ЛЧМ).</w:t>
      </w:r>
    </w:p>
    <w:p>
      <w:pPr>
        <w:jc w:val="both"/>
      </w:pPr>
      <w:r>
        <w:t xml:space="preserve">9 — </w:t>
      </w:r>
      <w:r>
        <w:rPr>
          <w:b/>
        </w:rPr>
        <w:t>Угловое 2D-БПФ.</w:t>
      </w:r>
      <w:r>
        <w:t xml:space="preserve"> Двумерное угловое преобразование Фурье на каждом бине дальности. Обе оси обрабатываются </w:t>
      </w:r>
      <w:r>
        <w:rPr>
          <w:b/>
        </w:rPr>
        <w:t>независимо</w:t>
      </w:r>
      <w:r>
        <w:t xml:space="preserve">: взвешивание по действительно имеющимся элементам → дополнение нулями до степени двойки → своя угловая шкала по каждой оси. При оси свыше нативного размера матричной операции — </w:t>
      </w:r>
      <w:r>
        <w:rPr>
          <w:b/>
        </w:rPr>
        <w:t>блочная раскладка</w:t>
      </w:r>
      <w:r>
        <w:t xml:space="preserve"> на нативные блоки с промежуточными поворачивающими множителями и вторым уровнем сложения; число уровней = отношение размера оси к нативному.</w:t>
      </w:r>
    </w:p>
    <w:p>
      <w:pPr>
        <w:jc w:val="both"/>
      </w:pPr>
      <w:r>
        <w:t xml:space="preserve">10 — </w:t>
      </w:r>
      <w:r>
        <w:rPr>
          <w:b/>
        </w:rPr>
        <w:t>Токенизация ЛЧМ.</w:t>
      </w:r>
      <w:r>
        <w:t xml:space="preserve"> Свёртка углового спектра в структурный токен по страддл-инвариантным признакам (пиковое отношение, мера разреженности, доля и интегральное отношение лепестков, максимум к среднему, полная энергия), нормированным на число угловых ячеек, на основе предобученной нейросети (функция классификатора-гейта). Второй выход — перечень участков, отнесённых к содержащим отклик, в блок 21.</w:t>
      </w:r>
    </w:p>
    <w:p>
      <w:pPr>
        <w:jc w:val="both"/>
      </w:pPr>
      <w:r>
        <w:t xml:space="preserve">11 — </w:t>
      </w:r>
      <w:r>
        <w:rPr>
          <w:b/>
        </w:rPr>
        <w:t>Объёмное 3D-БПФ.</w:t>
      </w:r>
      <w:r>
        <w:t xml:space="preserve"> Трёхмерное преобразование Фурье на каждом объёмном участке (тракт АМ), удерживающее </w:t>
      </w:r>
      <w:r>
        <w:rPr>
          <w:b/>
        </w:rPr>
        <w:t>все</w:t>
      </w:r>
      <w:r>
        <w:t xml:space="preserve"> выходы преобразования по третьей оси участка.</w:t>
      </w:r>
    </w:p>
    <w:p>
      <w:pPr>
        <w:jc w:val="both"/>
      </w:pPr>
      <w:r>
        <w:t xml:space="preserve">12 — </w:t>
      </w:r>
      <w:r>
        <w:rPr>
          <w:b/>
        </w:rPr>
        <w:t>Токенизация АМ.</w:t>
      </w:r>
      <w:r>
        <w:t xml:space="preserve"> Свёртка объёмного спектра в токен по тем же инвариантным признакам, обобщённым на объём (нейросеть-гейт).</w:t>
      </w:r>
    </w:p>
    <w:p>
      <w:pPr>
        <w:jc w:val="both"/>
      </w:pPr>
      <w:r>
        <w:t xml:space="preserve">13 — </w:t>
      </w:r>
      <w:r>
        <w:rPr>
          <w:b/>
        </w:rPr>
        <w:t>Причинностный арбитр.</w:t>
      </w:r>
      <w:r>
        <w:t xml:space="preserve"> Разбор разреженной матрицы токенов: окончательная метка «истинная/ложная цель» по правилу ближнего по дальности члена причинностной группы (передний край, τ≥0) и/или согласования с текущим кодом; отнесение сцены к четырём классам и признак необходимости углублённого исследования. В распределённом исполнении размещается на выделенном вычислителе.</w:t>
      </w:r>
    </w:p>
    <w:p>
      <w:pPr>
        <w:jc w:val="both"/>
      </w:pPr>
      <w:r>
        <w:t xml:space="preserve">14 — </w:t>
      </w:r>
      <w:r>
        <w:rPr>
          <w:b/>
        </w:rPr>
        <w:t>Объёмный добор (LSTM).</w:t>
      </w:r>
      <w:r>
        <w:t xml:space="preserve"> Уточнение углов и тонкой дальности трудного кандидата по объёму посредством рекуррентной нейросети; характеристика помехи (заградка / гребёнка). В распределённом исполнении — на выделенном вычислителе.</w:t>
      </w:r>
    </w:p>
    <w:p>
      <w:pPr>
        <w:jc w:val="both"/>
      </w:pPr>
      <w:r>
        <w:t xml:space="preserve">15 — </w:t>
      </w:r>
      <w:r>
        <w:rPr>
          <w:b/>
        </w:rPr>
        <w:t>Опорный код.</w:t>
      </w:r>
      <w:r>
        <w:t xml:space="preserve"> Формирование сопряжённого опорного сигнала m-последовательности агильной длины (2⁸…2²⁰, меняющейся от такта к такту) на число принятых точек.</w:t>
      </w:r>
    </w:p>
    <w:p>
      <w:pPr>
        <w:jc w:val="both"/>
      </w:pPr>
      <w:r>
        <w:t xml:space="preserve">16 — </w:t>
      </w:r>
      <w:r>
        <w:rPr>
          <w:b/>
        </w:rPr>
        <w:t>Циклические сдвиги.</w:t>
      </w:r>
      <w:r>
        <w:t xml:space="preserve"> Формирование векторов циклических сдвигов опоры (гипотезы задержки / дальностные стробы).</w:t>
      </w:r>
    </w:p>
    <w:p>
      <w:pPr>
        <w:jc w:val="both"/>
      </w:pPr>
      <w:r>
        <w:t xml:space="preserve">17 — </w:t>
      </w:r>
      <w:r>
        <w:rPr>
          <w:b/>
        </w:rPr>
        <w:t>Спектр опор.</w:t>
      </w:r>
      <w:r>
        <w:t xml:space="preserve"> Вычисление спектра опорных векторов.</w:t>
      </w:r>
    </w:p>
    <w:p>
      <w:pPr>
        <w:jc w:val="both"/>
      </w:pPr>
      <w:r>
        <w:t xml:space="preserve">18 — </w:t>
      </w:r>
      <w:r>
        <w:rPr>
          <w:b/>
        </w:rPr>
        <w:t>Сопряжённое перемножение.</w:t>
      </w:r>
      <w:r>
        <w:t xml:space="preserve"> Перемножение спектра опоры и спектра принятого сигнала.</w:t>
      </w:r>
    </w:p>
    <w:p>
      <w:pPr>
        <w:jc w:val="both"/>
      </w:pPr>
      <w:r>
        <w:t xml:space="preserve">19 — </w:t>
      </w:r>
      <w:r>
        <w:rPr>
          <w:b/>
        </w:rPr>
        <w:t>Обратное БПФ (IFFT).</w:t>
      </w:r>
      <w:r>
        <w:t xml:space="preserve"> Обратное преобразование Фурье произведения → корреляционный отклик.</w:t>
      </w:r>
    </w:p>
    <w:p>
      <w:pPr>
        <w:jc w:val="both"/>
      </w:pPr>
      <w:r>
        <w:t xml:space="preserve">20 — </w:t>
      </w:r>
      <w:r>
        <w:rPr>
          <w:b/>
        </w:rPr>
        <w:t>Токенизация выхода коррелятора.</w:t>
      </w:r>
      <w:r>
        <w:t xml:space="preserve"> Извлечение 3–5 наибольших значений отклика (положение пика соответствует дальности); формирование массива структур об объекте.</w:t>
      </w:r>
    </w:p>
    <w:p>
      <w:pPr>
        <w:jc w:val="both"/>
      </w:pPr>
      <w:r>
        <w:t xml:space="preserve">21 — </w:t>
      </w:r>
      <w:r>
        <w:rPr>
          <w:b/>
        </w:rPr>
        <w:t>Блок конвейерного перераспределения.</w:t>
      </w:r>
      <w:r>
        <w:t xml:space="preserve"> Делит бины дальности на непрерывные блоки равной длины по номеру бина (первый вычислитель — блок от нулевого бина, каждый следующий — очередной блок той же длины) и набирает свой блок </w:t>
      </w:r>
      <w:r>
        <w:rPr>
          <w:b/>
        </w:rPr>
        <w:t>порциями</w:t>
      </w:r>
      <w:r>
        <w:t xml:space="preserve">, получая недостающие каналы от одноимённых блоков остальных вычислителей. Совмещает передачу очередной порции с обработкой предыдущей блоками 8–10 того же вычислителя. Размер порции задаёт блок 4 из условия «время передачи порции ≤ время её обработки». Расписание задаётся до начала такта и в течение такта не пересчитывается. Работает </w:t>
      </w:r>
      <w:r>
        <w:rPr>
          <w:b/>
        </w:rPr>
        <w:t>в два прохода</w:t>
      </w:r>
      <w:r>
        <w:t xml:space="preserve">: первый — обмен суммарными выборками от блока 22 (объём меньше в D раз), по собранной полной апертуре блоки 8–10 выносят предварительное решение; второй — обмен полными данными от блока 5 </w:t>
      </w:r>
      <w:r>
        <w:rPr>
          <w:b/>
        </w:rPr>
        <w:t>только</w:t>
      </w:r>
      <w:r>
        <w:t xml:space="preserve"> по участкам, отнесённым к содержащим отклик (перечень приходит со второго выхода блока 10). При одном вычислителе вырождается в локальную пересборку данных, конвейер сохраняется. В кластерном исполнении вычислители сгруппированы в узлы, соединённые сетью с прямым доступом к памяти: обменные интерфейсы блоков 21 разных узлов соединены через эту сеть, межузловое перераспределение ведётся </w:t>
      </w:r>
      <w:r>
        <w:rPr>
          <w:b/>
        </w:rPr>
        <w:t>по тем же правилам</w:t>
      </w:r>
      <w:r>
        <w:t xml:space="preserve"> (непрерывные блоки, порции, статическое расписание, два прохода), а принятые данные между узлами не передаются — разделение потока выполнено на входе трактом 2.</w:t>
      </w:r>
    </w:p>
    <w:p>
      <w:pPr>
        <w:jc w:val="both"/>
      </w:pPr>
      <w:r>
        <w:t xml:space="preserve">22 — </w:t>
      </w:r>
      <w:r>
        <w:rPr>
          <w:b/>
        </w:rPr>
        <w:t>Блок группировки и поканального суммирования по участкам дальности.</w:t>
      </w:r>
      <w:r>
        <w:t xml:space="preserve"> Группирует бины дальности в участки глубиной D и складывает по оси дальности отсчёты </w:t>
      </w:r>
      <w:r>
        <w:rPr>
          <w:b/>
        </w:rPr>
        <w:t>только своих</w:t>
      </w:r>
      <w:r>
        <w:t xml:space="preserve"> каналов внутри участка. Операция </w:t>
      </w:r>
      <w:r>
        <w:rPr>
          <w:b/>
        </w:rPr>
        <w:t>поканальна</w:t>
      </w:r>
      <w:r>
        <w:t xml:space="preserve"> — апертуры не требует, поэтому выполняется </w:t>
      </w:r>
      <w:r>
        <w:rPr>
          <w:b/>
        </w:rPr>
        <w:t>до</w:t>
      </w:r>
      <w:r>
        <w:t xml:space="preserve"> обмена, на том вычислителе, где канал принят; вместо D бинов на участок остаётся одна суммарная выборка. Складывание есть удержание </w:t>
      </w:r>
      <w:r>
        <w:rPr>
          <w:b/>
        </w:rPr>
        <w:t>нулевого выхода</w:t>
      </w:r>
      <w:r>
        <w:t xml:space="preserve"> преобразования Фурье по оси дальности — того же преобразования, все выходы которого удерживает блок 11. Глубину D задаёт блок 4 как наименьшую из ограничений по энергетическому запасу (убывает с дальностью) и по разрежённости обстановки; при заградительной помехе укрупняет либо отключает группировку.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