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Дополнение к пакету от 09.08.2026 — кластерное исполнение</w:t>
      </w:r>
    </w:p>
    <w:p>
      <w:pPr>
        <w:ind w:left="504"/>
      </w:pPr>
      <w:r>
        <w:rPr>
          <w:b/>
          <w:i/>
          <w:sz w:val="22"/>
        </w:rPr>
        <w:t>Дата:</w:t>
      </w:r>
      <w:r>
        <w:rPr>
          <w:i/>
          <w:sz w:val="22"/>
        </w:rPr>
        <w:t xml:space="preserve"> 2026-08-17 · </w:t>
      </w:r>
      <w:r>
        <w:rPr>
          <w:b/>
          <w:i/>
          <w:sz w:val="22"/>
        </w:rPr>
        <w:t>Кому:</w:t>
      </w:r>
      <w:r>
        <w:rPr>
          <w:i/>
          <w:sz w:val="22"/>
        </w:rPr>
        <w:t xml:space="preserve"> патентному поверенному, в дополнение к письму от 09.08.2026. </w:t>
      </w:r>
      <w:r>
        <w:rPr>
          <w:b/>
          <w:i/>
          <w:sz w:val="22"/>
        </w:rPr>
        <w:t>Причина:</w:t>
      </w:r>
      <w:r>
        <w:rPr>
          <w:i/>
          <w:sz w:val="22"/>
        </w:rPr>
        <w:t xml:space="preserve"> в редакции 09.08 распределённое исполнение доведено только до уровня «несколько вычислителей одной машины». Уровня «узлы, соединённые сетью» в заявках не было ни в описании, ни в формуле, ни в уровне техники. Настоящее дополнение этот пробел закрывает. Обоснование по существу — </w:t>
      </w:r>
      <w:r>
        <w:rPr>
          <w:rFonts w:ascii="Consolas" w:hAnsi="Consolas"/>
          <w:i/>
          <w:sz w:val="22"/>
        </w:rPr>
        <w:t>../cluster_10x6_mi100_interconnect_2026-08-14.md</w:t>
      </w:r>
      <w:r>
        <w:rPr>
          <w:i/>
          <w:sz w:val="22"/>
        </w:rPr>
        <w:t>.</w:t>
      </w:r>
    </w:p>
    <w:p>
      <w:pPr>
        <w:pStyle w:val="Heading2"/>
      </w:pPr>
      <w:r>
        <w:t>1. Что изменено в текстах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Изменение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zayavka_SPOSOB.md</w:t>
            </w:r>
          </w:p>
        </w:tc>
        <w:tc>
          <w:tcPr>
            <w:tcW w:type="dxa" w:w="4320"/>
          </w:tcPr>
          <w:p>
            <w:r/>
            <w:r>
              <w:t xml:space="preserve">уровень техники — два абзаца (/11/, /12, 13/); сущность — абзац о группировке в узлы; описание — подраздел «Кластерное исполнение»; </w:t>
            </w:r>
            <w:r>
              <w:rPr>
                <w:b/>
              </w:rPr>
              <w:t>новый п. 14</w:t>
            </w:r>
            <w:r>
              <w:t>; литература — источники 11–13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zayavka_USTROJSTVO.md</w:t>
            </w:r>
          </w:p>
        </w:tc>
        <w:tc>
          <w:tcPr>
            <w:tcW w:type="dxa" w:w="4320"/>
          </w:tcPr>
          <w:p>
            <w:r/>
            <w:r>
              <w:t xml:space="preserve">уровень техники — абзац; описание — два абзаца после «Число вычислителей является параметром устройства»; </w:t>
            </w:r>
            <w:r>
              <w:rPr>
                <w:b/>
              </w:rPr>
              <w:t>новый п. 13</w:t>
            </w:r>
            <w:r>
              <w:t>; реферат — одно предложение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formula_izobreteniya.md</w:t>
            </w:r>
          </w:p>
        </w:tc>
        <w:tc>
          <w:tcPr>
            <w:tcW w:type="dxa" w:w="4320"/>
          </w:tcPr>
          <w:p>
            <w:r/>
            <w:r>
              <w:t>свод: строка С.14, строка У.13, карта «признак → уровень техники», счётчики пунктов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bloki_ustroystva_20.md</w:t>
            </w:r>
          </w:p>
        </w:tc>
        <w:tc>
          <w:tcPr>
            <w:tcW w:type="dxa" w:w="4320"/>
          </w:tcPr>
          <w:p>
            <w:r/>
            <w:r>
              <w:t xml:space="preserve">блок 21 — межузловой режим (новых позиций </w:t>
            </w:r>
            <w:r>
              <w:rPr>
                <w:b/>
              </w:rPr>
              <w:t>не вводится</w:t>
            </w:r>
            <w:r>
              <w:t>)</w:t>
            </w:r>
          </w:p>
        </w:tc>
      </w:tr>
    </w:tbl>
    <w:p/>
    <w:p>
      <w:pPr>
        <w:jc w:val="both"/>
      </w:pPr>
      <w:r>
        <w:rPr>
          <w:b/>
        </w:rPr>
        <w:t>Перенумерация.</w:t>
      </w:r>
      <w:r>
        <w:t xml:space="preserve"> Способ: было 19 пунктов (независимые 1 и 17) → стало </w:t>
      </w:r>
      <w:r>
        <w:rPr>
          <w:b/>
        </w:rPr>
        <w:t>20</w:t>
      </w:r>
      <w:r>
        <w:t xml:space="preserve"> (независимые </w:t>
      </w:r>
      <w:r>
        <w:rPr>
          <w:b/>
        </w:rPr>
        <w:t>1 и 18</w:t>
      </w:r>
      <w:r>
        <w:t xml:space="preserve">); прежние 14–19 сдвинуты в 15–20. Устройство: было 15 → стало </w:t>
      </w:r>
      <w:r>
        <w:rPr>
          <w:b/>
        </w:rPr>
        <w:t>16</w:t>
      </w:r>
      <w:r>
        <w:t>; прежние 13–15 сдвинуты в 14–16. Внутренние ссылки формул и колонка «зеркало в способе» в своде выправлены.</w:t>
      </w:r>
    </w:p>
    <w:p>
      <w:pPr>
        <w:jc w:val="both"/>
      </w:pPr>
      <w:r>
        <w:rPr>
          <w:b/>
        </w:rPr>
        <w:t>Чертежи не менялись.</w:t>
      </w:r>
      <w:r>
        <w:t xml:space="preserve"> Кластерное исполнение — это фиг. 5 (распределённое осуществление), прочитанная на уровень выше; новых позиций и новых блоков не вводится. Если поверенный сочтёт нужным, отдельная фигура «узлы + сеть» может быть добавлена, но признак от неё не зависит.</w:t>
      </w:r>
    </w:p>
    <w:p>
      <w:pPr>
        <w:pStyle w:val="Heading2"/>
      </w:pPr>
      <w:r>
        <w:t>2. Существо добавленного</w:t>
      </w:r>
    </w:p>
    <w:p>
      <w:pPr>
        <w:jc w:val="both"/>
      </w:pPr>
      <w:r>
        <w:t xml:space="preserve">Вычислители группируют в </w:t>
      </w:r>
      <w:r>
        <w:rPr>
          <w:b/>
        </w:rPr>
        <w:t>узлы</w:t>
      </w:r>
      <w:r>
        <w:t>, соединённые между собой сетью с прямым доступом к памяти. Каждый узел принимает свою часть подрешёток собственными приёмными каналами и обрабатывает её самостоятельно. Ключевых утверждений три:</w:t>
      </w:r>
    </w:p>
    <w:p>
      <w:pPr>
        <w:pStyle w:val="ListNumber"/>
      </w:pPr>
      <w:r>
        <w:rPr>
          <w:b/>
        </w:rPr>
        <w:t>Сырые принятые данные между узлами не передаются</w:t>
      </w:r>
      <w:r>
        <w:t xml:space="preserve"> — разделение потока выполнено на входе</w:t>
      </w:r>
    </w:p>
    <w:p>
      <w:pPr>
        <w:jc w:val="both"/>
      </w:pPr>
      <w:r>
        <w:t>(каждому узлу его подрешётки по своим линиям).</w:t>
      </w:r>
    </w:p>
    <w:p>
      <w:pPr>
        <w:pStyle w:val="ListNumber"/>
      </w:pPr>
      <w:r>
        <w:rPr>
          <w:b/>
        </w:rPr>
        <w:t>Межузловое перераспределение ведут по тем же правилам, что и внутриузловое</w:t>
      </w:r>
      <w:r>
        <w:t xml:space="preserve"> — непрерывные</w:t>
      </w:r>
    </w:p>
    <w:p>
      <w:pPr>
        <w:jc w:val="both"/>
      </w:pPr>
      <w:r>
        <w:t>блоки бинов, порции с совмещением передачи и счёта, расписание, заданное до начала такта, и два прохода (суммарные выборки участков → полные данные только участков с откликом).</w:t>
      </w:r>
    </w:p>
    <w:p>
      <w:pPr>
        <w:pStyle w:val="ListNumber"/>
      </w:pPr>
      <w:r>
        <w:rPr>
          <w:b/>
        </w:rPr>
        <w:t>Наверх идут токены, а не данные</w:t>
      </w:r>
      <w:r>
        <w:t xml:space="preserve"> — разреженные матрицы токенов всех узлов сводят на один</w:t>
      </w:r>
    </w:p>
    <w:p>
      <w:pPr>
        <w:jc w:val="both"/>
      </w:pPr>
      <w:r>
        <w:t>выделенный узел.</w:t>
      </w:r>
    </w:p>
    <w:p>
      <w:pPr>
        <w:jc w:val="both"/>
      </w:pPr>
      <w:r>
        <w:t xml:space="preserve">Признак масштабируемости формулируется как </w:t>
      </w:r>
      <w:r>
        <w:rPr>
          <w:b/>
        </w:rPr>
        <w:t>отсутствие изменения способа</w:t>
      </w:r>
      <w:r>
        <w:t>: иерархия «вычислитель → узел → совокупность узлов» обслуживается одним порядком действий, меняется только число узлов.</w:t>
      </w:r>
    </w:p>
    <w:p>
      <w:pPr>
        <w:jc w:val="both"/>
      </w:pPr>
      <w:r>
        <w:rPr>
          <w:b/>
        </w:rPr>
        <w:t>Почему это не «просто больше железа».</w:t>
      </w:r>
      <w:r>
        <w:t xml:space="preserve"> На межузловой сети ограничение объёма обмена перестаёт быть выигрышем по времени и становится </w:t>
      </w:r>
      <w:r>
        <w:rPr>
          <w:b/>
        </w:rPr>
        <w:t>условием осуществимости</w:t>
      </w:r>
      <w:r>
        <w:t>: пропускная способность межузловой сети на порядок ниже внутриузловой, и полный слепой обмен в рабочий такт не укладывается, тогда как двухпроходный — укладывается. Это довод в пользу того, что заявленный механизм гейтирования обмена имеет технический эффект, не сводимый к организации вычислений.</w:t>
      </w:r>
    </w:p>
    <w:p>
      <w:pPr>
        <w:pStyle w:val="Heading2"/>
      </w:pPr>
      <w:r>
        <w:t>3. Уровень техники — что добавлено и почему именно это</w:t>
      </w:r>
    </w:p>
    <w:p>
      <w:pPr>
        <w:jc w:val="both"/>
      </w:pPr>
      <w:r>
        <w:t xml:space="preserve">Добавлено </w:t>
      </w:r>
      <w:r>
        <w:rPr>
          <w:b/>
        </w:rPr>
        <w:t>до</w:t>
      </w:r>
      <w:r>
        <w:t xml:space="preserve"> экспертизы, чтобы источники не были предъявлены нам:</w:t>
      </w:r>
    </w:p>
    <w:p>
      <w:pPr>
        <w:pStyle w:val="ListBullet"/>
      </w:pPr>
      <w:r>
        <w:rPr>
          <w:b/>
        </w:rPr>
        <w:t>US10627480B2</w:t>
      </w:r>
      <w:r>
        <w:t xml:space="preserve"> (Texas Instruments, «Distributed radar signal processing in a radar system»,</w:t>
      </w:r>
    </w:p>
    <w:p>
      <w:pPr>
        <w:jc w:val="both"/>
      </w:pPr>
      <w:r>
        <w:t xml:space="preserve">приоритет 17.07.2014) — </w:t>
      </w:r>
      <w:r>
        <w:rPr>
          <w:b/>
        </w:rPr>
        <w:t>родитель US11796628B2</w:t>
      </w:r>
      <w:r>
        <w:t xml:space="preserve">, уже фигурирующего в пакете. Сверено по первоисточнику: независимый пункт — несколько радарных СнК, дальностные БПФ локально, </w:t>
      </w:r>
      <w:r>
        <w:rPr>
          <w:b/>
        </w:rPr>
        <w:t>угловые БПФ на отдельном центральном процессоре</w:t>
      </w:r>
      <w:r>
        <w:t xml:space="preserve">; в описании (фиг. 9) — </w:t>
      </w:r>
      <w:r>
        <w:rPr>
          <w:b/>
        </w:rPr>
        <w:t>частичное обнаружение объектов на СнК</w:t>
      </w:r>
      <w:r>
        <w:t xml:space="preserve"> с передачей центральному процессору только результатов обнаружения.</w:t>
      </w:r>
    </w:p>
    <w:p>
      <w:pPr>
        <w:pStyle w:val="ListBullet"/>
      </w:pPr>
      <w:r>
        <w:rPr>
          <w:b/>
        </w:rPr>
        <w:t>CHIME Pathfinder / kotekan</w:t>
      </w:r>
      <w:r>
        <w:t xml:space="preserve"> (arXiv:1503.06189, 1503.06202, 2015) — сверено по тексту:</w:t>
      </w:r>
    </w:p>
    <w:p>
      <w:pPr>
        <w:jc w:val="both"/>
      </w:pPr>
      <w:r>
        <w:t xml:space="preserve">ПЛИС-перестановка потоков, каждому узлу — </w:t>
      </w:r>
      <w:r>
        <w:rPr>
          <w:b/>
        </w:rPr>
        <w:t>все входы своей полосы частот</w:t>
      </w:r>
      <w:r>
        <w:t>, приём прямой записью DMA в заранее размеченное кольцо, минуя копирование средствами ОС.</w:t>
      </w:r>
    </w:p>
    <w:p>
      <w:pPr>
        <w:pStyle w:val="ListBullet"/>
      </w:pPr>
      <w:r>
        <w:rPr>
          <w:b/>
        </w:rPr>
        <w:t>Tianlai</w:t>
      </w:r>
      <w:r>
        <w:t xml:space="preserve"> (arXiv:2406.19013) — та же архитектура: ПЛИС-приём + кластер ГПУ + коммутируемая</w:t>
      </w:r>
    </w:p>
    <w:p>
      <w:pPr>
        <w:jc w:val="both"/>
      </w:pPr>
      <w:r>
        <w:t xml:space="preserve">сеть 10G (по реферату; полный текст не сверялся — </w:t>
      </w:r>
      <w:r>
        <w:rPr>
          <w:b/>
        </w:rPr>
        <w:t>отмечаю явно</w:t>
      </w:r>
      <w:r>
        <w:t>).</w:t>
      </w:r>
    </w:p>
    <w:p>
      <w:pPr>
        <w:jc w:val="both"/>
      </w:pPr>
      <w:r>
        <w:t xml:space="preserve">⚠️ </w:t>
      </w:r>
      <w:r>
        <w:rPr>
          <w:b/>
        </w:rPr>
        <w:t>Наиболее опасен US10627480B2</w:t>
      </w:r>
      <w:r>
        <w:t>, а не астрономические кластеры: частичное обнаружение с передачей только обнаруженного — ближайшее к нашему гейтированию из известного.</w:t>
      </w:r>
    </w:p>
    <w:p>
      <w:pPr>
        <w:pStyle w:val="Heading2"/>
      </w:pPr>
      <w:r>
        <w:t>4. Линия защиты (предлагаемая, прошу оценить)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Их решение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Наше отличие</w:t>
            </w:r>
          </w:p>
        </w:tc>
      </w:tr>
      <w:tr>
        <w:tc>
          <w:tcPr>
            <w:tcW w:type="dxa" w:w="4320"/>
          </w:tcPr>
          <w:p>
            <w:r/>
            <w:r>
              <w:t xml:space="preserve">TI: угловое БПФ </w:t>
            </w:r>
            <w:r>
              <w:rPr>
                <w:b/>
              </w:rPr>
              <w:t>централизовано</w:t>
            </w:r>
            <w:r>
              <w:t xml:space="preserve"> на выделенном процессоре</w:t>
            </w:r>
          </w:p>
        </w:tc>
        <w:tc>
          <w:tcPr>
            <w:tcW w:type="dxa" w:w="4320"/>
          </w:tcPr>
          <w:p>
            <w:r/>
            <w:r>
              <w:t xml:space="preserve">угловое преобразование </w:t>
            </w:r>
            <w:r>
              <w:rPr>
                <w:b/>
              </w:rPr>
              <w:t>не централизовано и не разделяется</w:t>
            </w:r>
            <w:r>
              <w:t>: срез собирается целиком на одном из равноправных вычислителей, обмен стоит на шве между двумя БПФ</w:t>
            </w:r>
          </w:p>
        </w:tc>
      </w:tr>
      <w:tr>
        <w:tc>
          <w:tcPr>
            <w:tcW w:type="dxa" w:w="4320"/>
          </w:tcPr>
          <w:p>
            <w:r/>
            <w:r>
              <w:t xml:space="preserve">TI: отбор передаваемого — </w:t>
            </w:r>
            <w:r>
              <w:rPr>
                <w:b/>
              </w:rPr>
              <w:t>пороговое обнаружение после полной обработки</w:t>
            </w:r>
            <w:r>
              <w:t xml:space="preserve"> каждого канала</w:t>
            </w:r>
          </w:p>
        </w:tc>
        <w:tc>
          <w:tcPr>
            <w:tcW w:type="dxa" w:w="4320"/>
          </w:tcPr>
          <w:p>
            <w:r/>
            <w:r>
              <w:t xml:space="preserve">решение выносится </w:t>
            </w:r>
            <w:r>
              <w:rPr>
                <w:b/>
              </w:rPr>
              <w:t>до обмена</w:t>
            </w:r>
            <w:r>
              <w:t xml:space="preserve">, по </w:t>
            </w:r>
            <w:r>
              <w:rPr>
                <w:b/>
              </w:rPr>
              <w:t>участку</w:t>
            </w:r>
            <w:r>
              <w:t xml:space="preserve"> глубины D, одним угловым преобразованием над суммарной выборкой, </w:t>
            </w:r>
            <w:r>
              <w:rPr>
                <w:b/>
              </w:rPr>
              <w:t>тем же токеном и тем же классификатором-гейтом</w:t>
            </w:r>
            <w:r>
              <w:t>, что и в основном тракте; второй проход идёт по тем же, уже принятым данным, без повторного приёма</w:t>
            </w:r>
          </w:p>
        </w:tc>
      </w:tr>
      <w:tr>
        <w:tc>
          <w:tcPr>
            <w:tcW w:type="dxa" w:w="4320"/>
          </w:tcPr>
          <w:p>
            <w:r/>
            <w:r>
              <w:t xml:space="preserve">CHIME/Tianlai: состав раздачи </w:t>
            </w:r>
            <w:r>
              <w:rPr>
                <w:b/>
              </w:rPr>
              <w:t>задан заранее</w:t>
            </w:r>
            <w:r>
              <w:t>, от сцены не зависит</w:t>
            </w:r>
          </w:p>
        </w:tc>
        <w:tc>
          <w:tcPr>
            <w:tcW w:type="dxa" w:w="4320"/>
          </w:tcPr>
          <w:p>
            <w:r/>
            <w:r>
              <w:t xml:space="preserve">объём межузлового обмена </w:t>
            </w:r>
            <w:r>
              <w:rPr>
                <w:b/>
              </w:rPr>
              <w:t>зависит от содержания сцены</w:t>
            </w:r>
            <w:r>
              <w:t xml:space="preserve"> (гейтирование тем же токеном)</w:t>
            </w:r>
          </w:p>
        </w:tc>
      </w:tr>
      <w:tr>
        <w:tc>
          <w:tcPr>
            <w:tcW w:type="dxa" w:w="4320"/>
          </w:tcPr>
          <w:p>
            <w:r/>
            <w:r>
              <w:t>Все трое: решения о цели не выносят</w:t>
            </w:r>
          </w:p>
        </w:tc>
        <w:tc>
          <w:tcPr>
            <w:tcW w:type="dxa" w:w="4320"/>
          </w:tcPr>
          <w:p>
            <w:r/>
            <w:r>
              <w:t>причинностный арбитр как потребитель обмена; наверх идут токены</w:t>
            </w:r>
          </w:p>
        </w:tc>
      </w:tr>
    </w:tbl>
    <w:p/>
    <w:p>
      <w:pPr>
        <w:jc w:val="both"/>
      </w:pPr>
      <w:r>
        <w:t xml:space="preserve">То есть кластерный пункт </w:t>
      </w:r>
      <w:r>
        <w:rPr>
          <w:b/>
        </w:rPr>
        <w:t>не самостоятелен</w:t>
      </w:r>
      <w:r>
        <w:t>: он опирается на признак (б) независимого пункта (токен вместо полной угловой карты) и на уже заявленный двухпроходный обмен. Отдельно взятый — уязвим, и мы это признаём.</w:t>
      </w:r>
    </w:p>
    <w:p>
      <w:pPr>
        <w:pStyle w:val="Heading2"/>
      </w:pPr>
      <w:r>
        <w:t>5. Открытые вопросы</w:t>
      </w:r>
    </w:p>
    <w:p>
      <w:pPr>
        <w:pStyle w:val="ListNumber"/>
      </w:pPr>
      <w:r>
        <w:rPr>
          <w:b/>
        </w:rPr>
        <w:t>Единство изобретения.</w:t>
      </w:r>
      <w:r>
        <w:t xml:space="preserve"> Кластерный пункт — тот же риск, что и пп. 10–13 в письме от 09.08,</w:t>
      </w:r>
    </w:p>
    <w:p>
      <w:pPr>
        <w:jc w:val="both"/>
      </w:pPr>
      <w:r>
        <w:t>в увеличенном масштабе: эксперт может квалифицировать его как решение из области параллельных вычислений. Прошу оценить, удержится ли он в связке с признаком (б).</w:t>
      </w:r>
    </w:p>
    <w:p>
      <w:pPr>
        <w:pStyle w:val="ListNumber"/>
      </w:pPr>
      <w:r>
        <w:rPr>
          <w:b/>
        </w:rPr>
        <w:t>Альтернативный вариант разделения потока — по полосам частот биений</w:t>
      </w:r>
      <w:r>
        <w:t xml:space="preserve"> (каждому узлу все</w:t>
      </w:r>
    </w:p>
    <w:p>
      <w:pPr>
        <w:jc w:val="both"/>
      </w:pPr>
      <w:r>
        <w:t xml:space="preserve">элементы решётки в его полосе, межузловое перераспределение исчезает). Внесён в описание обеих заявок как вариант осуществления; его реализуемость зависит от возможности устройства первичной обработки адресовать пакеты по диапазону частот — </w:t>
      </w:r>
      <w:r>
        <w:rPr>
          <w:b/>
        </w:rPr>
        <w:t>на нашем железе не проверено</w:t>
      </w:r>
      <w:r>
        <w:t>. Если вариант не подтвердится, он остаётся в описании как альтернатива и на объём притязаний не влияет.</w:t>
      </w:r>
    </w:p>
    <w:p>
      <w:pPr>
        <w:pStyle w:val="ListNumber"/>
      </w:pPr>
      <w:r>
        <w:rPr>
          <w:b/>
        </w:rPr>
        <w:t>Числовые оценки времени обмена</w:t>
      </w:r>
      <w:r>
        <w:t xml:space="preserve"> (порядок десятков миллисекунд для слепого обмена против</w:t>
      </w:r>
    </w:p>
    <w:p>
      <w:pPr>
        <w:jc w:val="both"/>
      </w:pPr>
      <w:r>
        <w:t xml:space="preserve">единиц для двухпроходного на сети 100 Гбит/с) в текст заявок </w:t>
      </w:r>
      <w:r>
        <w:rPr>
          <w:b/>
        </w:rPr>
        <w:t>не внесены</w:t>
      </w:r>
      <w:r>
        <w:t xml:space="preserve"> — они получены арифметически для конкретной конфигурации и моделированием не подтверждены. В заявках утверждение сформулировано качественно.</w:t>
      </w:r>
    </w:p>
    <w:p>
      <w:pPr>
        <w:pStyle w:val="ListNumber"/>
      </w:pPr>
      <w:r>
        <w:rPr>
          <w:b/>
        </w:rPr>
        <w:t>Tianlai</w:t>
      </w:r>
      <w:r>
        <w:t xml:space="preserve"> по полному тексту не сверялся (только реферат).</w:t>
      </w:r>
    </w:p>
    <w:p>
      <w:pPr>
        <w:jc w:val="both"/>
      </w:pPr>
      <w:r>
        <w:rPr>
          <w:i/>
        </w:rPr>
        <w:t>Дополнение подготовлено 2026-08-17. Тексты заявок в этой папке уже содержат все перечисленные изменения; отдельного «списка правок» внутри самих заявок нет — по соглашению пакета.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