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Сопроводительное письмо к дополненной редакции заявок</w:t>
      </w:r>
    </w:p>
    <w:p>
      <w:pPr>
        <w:ind w:left="504"/>
      </w:pPr>
      <w:r>
        <w:rPr>
          <w:i/>
          <w:sz w:val="22"/>
        </w:rPr>
        <w:t xml:space="preserve">⚠️ </w:t>
      </w:r>
      <w:r>
        <w:rPr>
          <w:b/>
          <w:i/>
          <w:sz w:val="22"/>
        </w:rPr>
        <w:t>Дополнение от 17.08.2026.</w:t>
      </w:r>
      <w:r>
        <w:rPr>
          <w:i/>
          <w:sz w:val="22"/>
        </w:rPr>
        <w:t xml:space="preserve"> Пакет дополнен кластерным исполнением: в способе появился </w:t>
      </w:r>
      <w:r>
        <w:rPr>
          <w:b/>
          <w:i/>
          <w:sz w:val="22"/>
        </w:rPr>
        <w:t>п. 14</w:t>
      </w:r>
      <w:r>
        <w:rPr>
          <w:i/>
          <w:sz w:val="22"/>
        </w:rPr>
        <w:t xml:space="preserve">, в устройстве — </w:t>
      </w:r>
      <w:r>
        <w:rPr>
          <w:b/>
          <w:i/>
          <w:sz w:val="22"/>
        </w:rPr>
        <w:t>п. 13</w:t>
      </w:r>
      <w:r>
        <w:rPr>
          <w:i/>
          <w:sz w:val="22"/>
        </w:rPr>
        <w:t xml:space="preserve">, нумерация последующих пунктов сдвинута на единицу (способ — 20 пунктов, независимые 1 и 18; устройство — 16 пунктов). Числа пунктов в тексте ниже относятся к редакции от 09.08. Что именно добавлено, какие источники внесены в уровень техники и какая предлагается линия защиты — в отдельной записке </w:t>
      </w:r>
      <w:r>
        <w:rPr>
          <w:rFonts w:ascii="Consolas" w:hAnsi="Consolas"/>
          <w:i/>
          <w:sz w:val="22"/>
        </w:rPr>
        <w:t>Дополнение_кластер_2026-08-17.md</w:t>
      </w:r>
      <w:r>
        <w:rPr>
          <w:i/>
          <w:sz w:val="22"/>
        </w:rPr>
        <w:t>.</w:t>
      </w:r>
    </w:p>
    <w:p>
      <w:pPr>
        <w:jc w:val="both"/>
      </w:pPr>
      <w:r>
        <w:rPr>
          <w:b/>
        </w:rPr>
        <w:t>Кому:</w:t>
      </w:r>
      <w:r>
        <w:t xml:space="preserve"> патентному поверенному </w:t>
      </w:r>
      <w:r>
        <w:rPr>
          <w:b/>
        </w:rPr>
        <w:t>От:</w:t>
      </w:r>
      <w:r>
        <w:t xml:space="preserve"> Ланин А. </w:t>
      </w:r>
      <w:r>
        <w:rPr>
          <w:b/>
        </w:rPr>
        <w:t>Дата:</w:t>
      </w:r>
      <w:r>
        <w:t xml:space="preserve"> 2026-08-09 </w:t>
      </w:r>
      <w:r>
        <w:rPr>
          <w:b/>
        </w:rPr>
        <w:t>Предмет:</w:t>
      </w:r>
      <w:r>
        <w:t xml:space="preserve"> дополнение двух заявок (способ и устройство) признаками распределённого исполнения</w:t>
      </w:r>
    </w:p>
    <w:p>
      <w:pPr>
        <w:pStyle w:val="Heading2"/>
      </w:pPr>
      <w:r>
        <w:t>1. Что изменилось</w:t>
      </w:r>
    </w:p>
    <w:p>
      <w:pPr>
        <w:jc w:val="both"/>
      </w:pPr>
      <w:r>
        <w:t>Обе заявки дополнены группой признаков, описывающих работу при апертуре, размер которой не позволяет принять и обработать объём рабочего такта одним приёмным каналом и одним вычислителем.</w:t>
      </w:r>
    </w:p>
    <w:p>
      <w:pPr>
        <w:jc w:val="both"/>
      </w:pPr>
      <w:r>
        <w:rPr>
          <w:b/>
        </w:rPr>
        <w:t>Заявка на способ</w:t>
      </w:r>
      <w:r>
        <w:t xml:space="preserve"> — формула переработана целиком в связную редакцию: 19 пунктов, из них независимые — п. 1 (дальностно-разрешённый тракт) и п. 17 (объёмный примитив). Прежний независимый п. 9 стал п. 17, его зависимые 10 и 11 — п. 18 и 19; новые признаки занимают п. 9–16. Позиции описания 1–24, фигуры 1–7.</w:t>
      </w:r>
    </w:p>
    <w:p>
      <w:pPr>
        <w:jc w:val="both"/>
      </w:pPr>
      <w:r>
        <w:rPr>
          <w:b/>
        </w:rPr>
        <w:t>Заявка на устройство</w:t>
      </w:r>
      <w:r>
        <w:t xml:space="preserve"> — добавлены блоки 21 и 22, формула — 15 пунктов, независимый один (п. 1). Новые признаки занимают п. 4 и п. 10–15, фигура 2.</w:t>
      </w:r>
    </w:p>
    <w:p>
      <w:pPr>
        <w:jc w:val="both"/>
      </w:pPr>
      <w:r>
        <w:t xml:space="preserve">Заявки перевыпущены как </w:t>
      </w:r>
      <w:r>
        <w:rPr>
          <w:b/>
        </w:rPr>
        <w:t>законченные самосогласованные документы</w:t>
      </w:r>
      <w:r>
        <w:t>: снята несостыковка «квадратная апертура n×n ↔ прямоугольная i×j» (обе оси теперь обрабатываются независимо, с взвешиванием по действительно имеющимся элементам и дополнением нулями до степени двойки), устранено противоречие по памяти рабочей группы, нумерация формулы приведена в связный порядок. Ничего не подавалось, поэтому перенумерация свободна.</w:t>
      </w:r>
    </w:p>
    <w:p>
      <w:pPr>
        <w:pStyle w:val="Heading2"/>
      </w:pPr>
      <w:r>
        <w:t>2. Существо добавленного</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Признак</w:t>
            </w:r>
          </w:p>
        </w:tc>
        <w:tc>
          <w:tcPr>
            <w:tcW w:type="dxa" w:w="2880"/>
          </w:tcPr>
          <w:p>
            <w:r>
              <w:rPr>
                <w:b/>
              </w:rPr>
            </w:r>
            <w:r>
              <w:rPr>
                <w:b/>
              </w:rPr>
              <w:t>Пункт (способ)</w:t>
            </w:r>
          </w:p>
        </w:tc>
        <w:tc>
          <w:tcPr>
            <w:tcW w:type="dxa" w:w="2880"/>
          </w:tcPr>
          <w:p>
            <w:r>
              <w:rPr>
                <w:b/>
              </w:rPr>
            </w:r>
            <w:r>
              <w:rPr>
                <w:b/>
              </w:rPr>
              <w:t>Пункт (устройство)</w:t>
            </w:r>
          </w:p>
        </w:tc>
      </w:tr>
      <w:tr>
        <w:tc>
          <w:tcPr>
            <w:tcW w:type="dxa" w:w="2880"/>
          </w:tcPr>
          <w:p>
            <w:r/>
            <w:r>
              <w:t>Приём несколькими каналами по подрешёткам, параллельные дальностные преобразования, угловое преобразование не разделяется между вычислителями</w:t>
            </w:r>
          </w:p>
        </w:tc>
        <w:tc>
          <w:tcPr>
            <w:tcW w:type="dxa" w:w="2880"/>
          </w:tcPr>
          <w:p>
            <w:r/>
            <w:r>
              <w:t>10</w:t>
            </w:r>
          </w:p>
        </w:tc>
        <w:tc>
          <w:tcPr>
            <w:tcW w:type="dxa" w:w="2880"/>
          </w:tcPr>
          <w:p>
            <w:r/>
            <w:r>
              <w:t>10</w:t>
            </w:r>
          </w:p>
        </w:tc>
      </w:tr>
      <w:tr>
        <w:tc>
          <w:tcPr>
            <w:tcW w:type="dxa" w:w="2880"/>
          </w:tcPr>
          <w:p>
            <w:r/>
            <w:r>
              <w:t>Перераспределение порциями с совмещением передачи и обработки; размер порции по правилу «время передачи ≤ время обработки»</w:t>
            </w:r>
          </w:p>
        </w:tc>
        <w:tc>
          <w:tcPr>
            <w:tcW w:type="dxa" w:w="2880"/>
          </w:tcPr>
          <w:p>
            <w:r/>
            <w:r>
              <w:t>11</w:t>
            </w:r>
          </w:p>
        </w:tc>
        <w:tc>
          <w:tcPr>
            <w:tcW w:type="dxa" w:w="2880"/>
          </w:tcPr>
          <w:p>
            <w:r/>
            <w:r>
              <w:t>11</w:t>
            </w:r>
          </w:p>
        </w:tc>
      </w:tr>
      <w:tr>
        <w:tc>
          <w:tcPr>
            <w:tcW w:type="dxa" w:w="2880"/>
          </w:tcPr>
          <w:p>
            <w:r/>
            <w:r>
              <w:t>Деление бинов дальности на непрерывные блоки равной длины</w:t>
            </w:r>
          </w:p>
        </w:tc>
        <w:tc>
          <w:tcPr>
            <w:tcW w:type="dxa" w:w="2880"/>
          </w:tcPr>
          <w:p>
            <w:r/>
            <w:r>
              <w:t>12</w:t>
            </w:r>
          </w:p>
        </w:tc>
        <w:tc>
          <w:tcPr>
            <w:tcW w:type="dxa" w:w="2880"/>
          </w:tcPr>
          <w:p>
            <w:r/>
            <w:r>
              <w:t>11</w:t>
            </w:r>
          </w:p>
        </w:tc>
      </w:tr>
      <w:tr>
        <w:tc>
          <w:tcPr>
            <w:tcW w:type="dxa" w:w="2880"/>
          </w:tcPr>
          <w:p>
            <w:r/>
            <w:r>
              <w:t>Статическое расписание обмена, не пересчитываемое в течение такта</w:t>
            </w:r>
          </w:p>
        </w:tc>
        <w:tc>
          <w:tcPr>
            <w:tcW w:type="dxa" w:w="2880"/>
          </w:tcPr>
          <w:p>
            <w:r/>
            <w:r>
              <w:t>12</w:t>
            </w:r>
          </w:p>
        </w:tc>
        <w:tc>
          <w:tcPr>
            <w:tcW w:type="dxa" w:w="2880"/>
          </w:tcPr>
          <w:p>
            <w:r/>
            <w:r>
              <w:t>11</w:t>
            </w:r>
          </w:p>
        </w:tc>
      </w:tr>
      <w:tr>
        <w:tc>
          <w:tcPr>
            <w:tcW w:type="dxa" w:w="2880"/>
          </w:tcPr>
          <w:p>
            <w:r/>
            <w:r>
              <w:t>Сведение матриц токенов на выделенный вычислитель для арбитража</w:t>
            </w:r>
          </w:p>
        </w:tc>
        <w:tc>
          <w:tcPr>
            <w:tcW w:type="dxa" w:w="2880"/>
          </w:tcPr>
          <w:p>
            <w:r/>
            <w:r>
              <w:t>13</w:t>
            </w:r>
          </w:p>
        </w:tc>
        <w:tc>
          <w:tcPr>
            <w:tcW w:type="dxa" w:w="2880"/>
          </w:tcPr>
          <w:p>
            <w:r/>
            <w:r>
              <w:t>12</w:t>
            </w:r>
          </w:p>
        </w:tc>
      </w:tr>
      <w:tr>
        <w:tc>
          <w:tcPr>
            <w:tcW w:type="dxa" w:w="2880"/>
          </w:tcPr>
          <w:p>
            <w:r/>
            <w:r>
              <w:t>Блочная раскладка углового преобразования при оси свыше нативного размера матричной операции</w:t>
            </w:r>
          </w:p>
        </w:tc>
        <w:tc>
          <w:tcPr>
            <w:tcW w:type="dxa" w:w="2880"/>
          </w:tcPr>
          <w:p>
            <w:r/>
            <w:r>
              <w:t>9</w:t>
            </w:r>
          </w:p>
        </w:tc>
        <w:tc>
          <w:tcPr>
            <w:tcW w:type="dxa" w:w="2880"/>
          </w:tcPr>
          <w:p>
            <w:r/>
            <w:r>
              <w:t>4</w:t>
            </w:r>
          </w:p>
        </w:tc>
      </w:tr>
      <w:tr>
        <w:tc>
          <w:tcPr>
            <w:tcW w:type="dxa" w:w="2880"/>
          </w:tcPr>
          <w:p>
            <w:r/>
            <w:r>
              <w:t>Группировка бинов в участки глубиной D с предварительным решением по тому же токену</w:t>
            </w:r>
          </w:p>
        </w:tc>
        <w:tc>
          <w:tcPr>
            <w:tcW w:type="dxa" w:w="2880"/>
          </w:tcPr>
          <w:p>
            <w:r/>
            <w:r>
              <w:t>14</w:t>
            </w:r>
          </w:p>
        </w:tc>
        <w:tc>
          <w:tcPr>
            <w:tcW w:type="dxa" w:w="2880"/>
          </w:tcPr>
          <w:p>
            <w:r/>
            <w:r>
              <w:t>13</w:t>
            </w:r>
          </w:p>
        </w:tc>
      </w:tr>
      <w:tr>
        <w:tc>
          <w:tcPr>
            <w:tcW w:type="dxa" w:w="2880"/>
          </w:tcPr>
          <w:p>
            <w:r/>
            <w:r>
              <w:t>Удержание нулевого выхода против всех выходов; правило выбора D</w:t>
            </w:r>
          </w:p>
        </w:tc>
        <w:tc>
          <w:tcPr>
            <w:tcW w:type="dxa" w:w="2880"/>
          </w:tcPr>
          <w:p>
            <w:r/>
            <w:r>
              <w:t>15</w:t>
            </w:r>
          </w:p>
        </w:tc>
        <w:tc>
          <w:tcPr>
            <w:tcW w:type="dxa" w:w="2880"/>
          </w:tcPr>
          <w:p>
            <w:r/>
            <w:r>
              <w:t>13, 15</w:t>
            </w:r>
          </w:p>
        </w:tc>
      </w:tr>
      <w:tr>
        <w:tc>
          <w:tcPr>
            <w:tcW w:type="dxa" w:w="2880"/>
          </w:tcPr>
          <w:p>
            <w:r/>
            <w:r>
              <w:t>Поканальное суммирование до обмена; перераспределение в два прохода</w:t>
            </w:r>
          </w:p>
        </w:tc>
        <w:tc>
          <w:tcPr>
            <w:tcW w:type="dxa" w:w="2880"/>
          </w:tcPr>
          <w:p>
            <w:r/>
            <w:r>
              <w:t>16</w:t>
            </w:r>
          </w:p>
        </w:tc>
        <w:tc>
          <w:tcPr>
            <w:tcW w:type="dxa" w:w="2880"/>
          </w:tcPr>
          <w:p>
            <w:r/>
            <w:r>
              <w:t>13, 14</w:t>
            </w:r>
          </w:p>
        </w:tc>
      </w:tr>
    </w:tbl>
    <w:p/>
    <w:p>
      <w:pPr>
        <w:pStyle w:val="Heading2"/>
      </w:pPr>
      <w:r>
        <w:t>3. Главный риск и линия защиты — прошу обратить внимание в первую очередь</w:t>
      </w:r>
    </w:p>
    <w:p>
      <w:pPr>
        <w:jc w:val="both"/>
      </w:pPr>
      <w:r>
        <w:rPr>
          <w:b/>
        </w:rPr>
        <w:t>Риск.</w:t>
      </w:r>
      <w:r>
        <w:t xml:space="preserve"> Распределённое преобразование Фурье с перераспределением данных между вычислительными узлами — плотно занятая область (многолетняя практика высокопроизводительных вычислений, разбиения slab и pencil, специализированные библиотеки распределённого БПФ). Пункт, сформулированный как «вычисления выполняют на N параллельных вычислителях, данные между ними распределяют», представляет собой самостоятельное решение из области параллельных вычислений, не связанное с распознаванием цели на фоне ретранслятора. Ожидаю два возможных возражения экспертизы: (а) отсутствие единства изобретения с требованием выделения; (б) известность признака из уровня техники.</w:t>
      </w:r>
    </w:p>
    <w:p>
      <w:pPr>
        <w:jc w:val="both"/>
      </w:pPr>
      <w:r>
        <w:rPr>
          <w:b/>
        </w:rPr>
        <w:t>Линия защиты — три отличия, каждое опирается на ранее заявленное.</w:t>
      </w:r>
    </w:p>
    <w:p>
      <w:pPr>
        <w:jc w:val="both"/>
      </w:pPr>
      <w:r>
        <w:rPr>
          <w:b/>
        </w:rPr>
        <w:t>3.1. Место обмена выведено, а не выбрано</w:t>
      </w:r>
      <w:r>
        <w:t xml:space="preserve"> — но с оговоркой, которую прошу учесть. Независимый пункт 1 уже содержит признак двух </w:t>
      </w:r>
      <w:r>
        <w:rPr>
          <w:b/>
        </w:rPr>
        <w:t>раздельных</w:t>
      </w:r>
      <w:r>
        <w:t xml:space="preserve"> преобразований Фурье — глобального дальностного и поячеечного углового. Дальностное преобразование поканально, поэтому распараллеливается без обмена; угловое требует всех элементов решётки. Шов между ними задан структурой способа, а не выбран из соображений удобства реализации.</w:t>
      </w:r>
    </w:p>
    <w:p>
      <w:pPr>
        <w:jc w:val="both"/>
      </w:pPr>
      <w:r>
        <w:t xml:space="preserve">⚠️ </w:t>
      </w:r>
      <w:r>
        <w:rPr>
          <w:b/>
        </w:rPr>
        <w:t>Оговорка (важно, не переоценивать этот довод).</w:t>
      </w:r>
      <w:r>
        <w:t xml:space="preserve"> Первоначально я формулировал его как «у нас преобразование не разрезается, а в распределённом БПФ общего назначения — разрезается». Это </w:t>
      </w:r>
      <w:r>
        <w:rPr>
          <w:b/>
        </w:rPr>
        <w:t>неверно</w:t>
      </w:r>
      <w:r>
        <w:t xml:space="preserve">: классическая slab-декомпозиция работает точно так же — одномерное преобразование по одной оси локально, затем перераспределение на шве, затем поперечное преобразование целиком на одном узле. Признак «не разрезается» сам по себе от уровня техники не отстраивает. Довод 3.1 следует использовать только в связке: делится </w:t>
      </w:r>
      <w:r>
        <w:rPr>
          <w:b/>
        </w:rPr>
        <w:t>набор срезов</w:t>
      </w:r>
      <w:r>
        <w:t xml:space="preserve"> при двух </w:t>
      </w:r>
      <w:r>
        <w:rPr>
          <w:b/>
        </w:rPr>
        <w:t>функционально разных</w:t>
      </w:r>
      <w:r>
        <w:t xml:space="preserve"> преобразованиях (дальностном и угловом), а не оси одного преобразования. Основной вес защиты прошу перенести на 3.2 и 3.3.</w:t>
      </w:r>
    </w:p>
    <w:p>
      <w:pPr>
        <w:jc w:val="both"/>
      </w:pPr>
      <w:r>
        <w:rPr>
          <w:b/>
        </w:rPr>
        <w:t>3.1-бис. Обнаружен прямой аналог, которого нет в списке литературы.</w:t>
      </w:r>
      <w:r>
        <w:t xml:space="preserve"> При проверке новизны найден </w:t>
      </w:r>
      <w:r>
        <w:rPr>
          <w:b/>
        </w:rPr>
        <w:t>US 11 796 628 B2 «Distributed radar signal processing in a radar system», Texas Instruments</w:t>
      </w:r>
      <w:r>
        <w:t xml:space="preserve">, приоритет 17.07.2014. Независимый пункт: приёмные каналы </w:t>
      </w:r>
      <w:r>
        <w:rPr>
          <w:b/>
        </w:rPr>
        <w:t>локально</w:t>
      </w:r>
      <w:r>
        <w:t xml:space="preserve"> считают свои range FFT (и Doppler FFT), а </w:t>
      </w:r>
      <w:r>
        <w:rPr>
          <w:b/>
        </w:rPr>
        <w:t>отдельный процессор</w:t>
      </w:r>
      <w:r>
        <w:t xml:space="preserve"> считает angle FFT по их результатам. В описании прямо указаны передача результатов «slice by slice» по одной дальности за раз и </w:t>
      </w:r>
      <w:r>
        <w:rPr>
          <w:b/>
        </w:rPr>
        <w:t>совмещение вычисления angle FFT с передачей</w:t>
      </w:r>
      <w:r>
        <w:t xml:space="preserve"> — то есть признак конвейерного совмещения (наш пункт 13 способа / 10 устройства) раскрыт этим документом.</w:t>
      </w:r>
    </w:p>
    <w:p>
      <w:pPr>
        <w:jc w:val="both"/>
      </w:pPr>
      <w:r>
        <w:t xml:space="preserve">Это тот же заявитель, что и уже процитированный US 10 962 637 B2, поэтому портфель будет просматриваться внимательно. </w:t>
      </w:r>
      <w:r>
        <w:rPr>
          <w:b/>
        </w:rPr>
        <w:t>Отличие, на котором прошу строить отстройку:</w:t>
      </w:r>
      <w:r>
        <w:t xml:space="preserve"> у указанного документа угловое преобразование </w:t>
      </w:r>
      <w:r>
        <w:rPr>
          <w:b/>
        </w:rPr>
        <w:t>централизовано</w:t>
      </w:r>
      <w:r>
        <w:t xml:space="preserve"> на отдельном процессоре, тогда как у нас оно остаётся </w:t>
      </w:r>
      <w:r>
        <w:rPr>
          <w:b/>
        </w:rPr>
        <w:t>распределённым</w:t>
      </w:r>
      <w:r>
        <w:t xml:space="preserve"> — каждый вычислитель обрабатывает свой непрерывный блок бинов дальности, а централизуется только арбитраж, причём на него передаются </w:t>
      </w:r>
      <w:r>
        <w:rPr>
          <w:b/>
        </w:rPr>
        <w:t>токены, а не данные</w:t>
      </w:r>
      <w:r>
        <w:t xml:space="preserve">. Дополнительно у нас обмен </w:t>
      </w:r>
      <w:r>
        <w:rPr>
          <w:b/>
        </w:rPr>
        <w:t>гейтируется</w:t>
      </w:r>
      <w:r>
        <w:t xml:space="preserve"> предварительным решением (пункты 14 и 16 способа), тогда как там он полный.</w:t>
      </w:r>
    </w:p>
    <w:p>
      <w:pPr>
        <w:jc w:val="both"/>
      </w:pPr>
      <w:r>
        <w:t>Прошу оценить, достаточно ли этого для сохранения пунктов 10–12, либо их следует переформулировать с прямым акцентом на нецентрализованность второго преобразования.</w:t>
      </w:r>
    </w:p>
    <w:p>
      <w:pPr>
        <w:jc w:val="both"/>
      </w:pPr>
      <w:r>
        <w:rPr>
          <w:b/>
        </w:rPr>
        <w:t>3.2. Объём обмена зависит от данных, и решение выносит уже заявленный признак.</w:t>
      </w:r>
      <w:r>
        <w:t xml:space="preserve"> В решениях общего назначения обмен полный и слепой. У нас он гейтируется предварительным решением по участку, которое принимает </w:t>
      </w:r>
      <w:r>
        <w:rPr>
          <w:b/>
        </w:rPr>
        <w:t>тот же структурный токен</w:t>
      </w:r>
      <w:r>
        <w:t xml:space="preserve"> и </w:t>
      </w:r>
      <w:r>
        <w:rPr>
          <w:b/>
        </w:rPr>
        <w:t>тот же классификатор-гейт</w:t>
      </w:r>
      <w:r>
        <w:t>, что заявлены признаком (б) независимого пункта 1. Это не оптимизация пересылки, а применение заявленного признака к межпроцессорному обмену.</w:t>
      </w:r>
    </w:p>
    <w:p>
      <w:pPr>
        <w:jc w:val="both"/>
      </w:pPr>
      <w:r>
        <w:rPr>
          <w:b/>
        </w:rPr>
        <w:t>3.3. Обмен второго уровня — токены, а не данные.</w:t>
      </w:r>
      <w:r>
        <w:t xml:space="preserve"> На выделенный вычислитель уходит разреженная матрица токенов. Прямое следствие замены полной угловой карты токеном.</w:t>
      </w:r>
    </w:p>
    <w:p>
      <w:pPr>
        <w:pStyle w:val="Heading2"/>
      </w:pPr>
      <w:r>
        <w:t>4. Единство изобретения</w:t>
      </w:r>
    </w:p>
    <w:p>
      <w:pPr>
        <w:jc w:val="both"/>
      </w:pPr>
      <w:r>
        <w:t>Замок единства построен по образцу действующего в пункте 18 (способ), где двумерная токенизация объявлена частным случаем объёмной при глубине участка, равной единице.</w:t>
      </w:r>
    </w:p>
    <w:p>
      <w:pPr>
        <w:jc w:val="both"/>
      </w:pPr>
      <w:r>
        <w:t xml:space="preserve">Пункт 18 (способ) устанавливает: складывание отсчётов участка по оси дальности есть удержание </w:t>
      </w:r>
      <w:r>
        <w:rPr>
          <w:b/>
        </w:rPr>
        <w:t>нулевого выхода</w:t>
      </w:r>
      <w:r>
        <w:t xml:space="preserve"> преобразования Фурье по этой оси, тогда как в объёмном примитиве по пункту 17 удерживают </w:t>
      </w:r>
      <w:r>
        <w:rPr>
          <w:b/>
        </w:rPr>
        <w:t>все</w:t>
      </w:r>
      <w:r>
        <w:t xml:space="preserve"> выходы того же преобразования. Оператор один; различается число удерживаемых выходов, и различие следует из физики оси — в амплитудном тракте третья ось есть время и отклик по ней распределён, в дальностном тракте третья ось уже есть дальность и отклик сосредоточен. Пункт 14 дополнительно фиксирует, что поячеечная обработка есть частный случай участковой при глубине участка, равной единице.</w:t>
      </w:r>
    </w:p>
    <w:p>
      <w:pPr>
        <w:jc w:val="both"/>
      </w:pPr>
      <w:r>
        <w:t>Таким образом добавленная группа признаков не образует самостоятельного замысла, а распространяет ранее заявленный примитив на вторую ось.</w:t>
      </w:r>
    </w:p>
    <w:p>
      <w:pPr>
        <w:pStyle w:val="Heading2"/>
      </w:pPr>
      <w:r>
        <w:t>5. Что закрыто и что осталось открытым</w:t>
      </w:r>
    </w:p>
    <w:p>
      <w:pPr>
        <w:jc w:val="both"/>
      </w:pPr>
      <w:r>
        <w:t>Прошу учесть при редактировании — это внесено в текст сознательно, а не по недосмотру.</w:t>
      </w:r>
    </w:p>
    <w:p>
      <w:pPr>
        <w:jc w:val="both"/>
      </w:pPr>
      <w:r>
        <w:rPr>
          <w:b/>
        </w:rPr>
        <w:t>5.1. Закрыто в этой редакции — прошу проверить формулировку.</w:t>
      </w:r>
      <w:r>
        <w:t xml:space="preserve"> Признак выполнения обработки в быстрой внутрикристальной памяти рабочей группы для полного среза большой апертуры физически не выполним: срез туда не помещается. В прежней редакции пункт был сформулирован в сильной форме и потому ложен для варианта с большой апертурой. Теперь признак привязан к </w:t>
      </w:r>
      <w:r>
        <w:rPr>
          <w:b/>
        </w:rPr>
        <w:t>секции</w:t>
      </w:r>
      <w:r>
        <w:t xml:space="preserve"> углового среза: п. 8 способа и п. 3 устройства читаются как «формирование секции углового среза, свёртку секции в токен и классификацию выполняют в памяти рабочей группы с выгрузкой во внешнюю память только токена, а не полной угловой карты, причём размер секции согласован с нативным размером матричной операции». Описания обеих заявок приведены в соответствие. Прошу проверить достаточность.</w:t>
      </w:r>
    </w:p>
    <w:p>
      <w:pPr>
        <w:jc w:val="both"/>
      </w:pPr>
      <w:r>
        <w:rPr>
          <w:b/>
        </w:rPr>
        <w:t>5.2. Оценка, не подтверждённая моделированием.</w:t>
      </w:r>
      <w:r>
        <w:t xml:space="preserve"> Потеря чувствительности при группировке бинов оценена консервативно как десятичный логарифм глубины участка, умноженный на десять. Вопрос, держатся ли признаки токена лучше этой оценки, открыт и вынесен в план моделирования. Численных утверждений на этот счёт в тексте нет.</w:t>
      </w:r>
    </w:p>
    <w:p>
      <w:pPr>
        <w:jc w:val="both"/>
      </w:pPr>
      <w:r>
        <w:rPr>
          <w:b/>
        </w:rPr>
        <w:t>5.3. Признанное ограничение.</w:t>
      </w:r>
      <w:r>
        <w:t xml:space="preserve"> При заградительной помехе предварительное решение по участкам перестаёт отсеивать и обходится в надбавку. В описании это указано прямо, с описанием реакции — укрупнение участка либо отказ от группировки.</w:t>
      </w:r>
    </w:p>
    <w:p>
      <w:pPr>
        <w:jc w:val="both"/>
      </w:pPr>
      <w:r>
        <w:rPr>
          <w:b/>
        </w:rPr>
        <w:t>5.4. Второй найденный аналог, не проверенный мной лично.</w:t>
      </w:r>
      <w:r>
        <w:t xml:space="preserve"> По результатам проверки новизны указан также </w:t>
      </w:r>
      <w:r>
        <w:rPr>
          <w:b/>
        </w:rPr>
        <w:t>US 11 808 881 B2 (Arbe Robotics)</w:t>
      </w:r>
      <w:r>
        <w:t xml:space="preserve"> — двухэтапная обработка: грубый кадр низкого разрешения обрабатывается полностью, определяются участки интереса, тонкий кадр высокого разрешения обрабатывается только для них. Он релевантен пунктам </w:t>
      </w:r>
      <w:r>
        <w:rPr>
          <w:b/>
        </w:rPr>
        <w:t>17 и 19 способа</w:t>
      </w:r>
      <w:r>
        <w:t xml:space="preserve"> (объёмный примитив с грубым проходом и тонким добором), на которых держится замок единства для пунктов 14–16. Номер приведён по результату автоматизированного поиска и </w:t>
      </w:r>
      <w:r>
        <w:rPr>
          <w:b/>
        </w:rPr>
        <w:t>мной лично по первоисточнику не сверялся</w:t>
      </w:r>
      <w:r>
        <w:t xml:space="preserve"> — прошу проверить перед использованием.</w:t>
      </w:r>
    </w:p>
    <w:p>
      <w:pPr>
        <w:jc w:val="both"/>
      </w:pPr>
      <w:r>
        <w:rPr>
          <w:b/>
        </w:rPr>
        <w:t>5.5. Чертежи отрисованы вчерне.</w:t>
      </w:r>
      <w:r>
        <w:t xml:space="preserve"> Все фигуры существуют в виде файлов, но выполнены рабочей отрисовкой и требуют доводки по ГОСТ — см. раздел 6.</w:t>
      </w:r>
    </w:p>
    <w:p>
      <w:pPr>
        <w:pStyle w:val="Heading2"/>
      </w:pPr>
      <w:r>
        <w:t>6. Чертежи</w:t>
      </w:r>
    </w:p>
    <w:p>
      <w:pPr>
        <w:jc w:val="both"/>
      </w:pPr>
      <w:r>
        <w:t>Все семь фигур заявки на способ и обе фигуры заявки на устройство существуют файлами. Фигуры 5–7 способа и фигура 2 устройства отрисованы заново (</w:t>
      </w:r>
      <w:r>
        <w:rPr>
          <w:rFonts w:ascii="Consolas" w:hAnsi="Consolas"/>
          <w:sz w:val="18"/>
        </w:rPr>
        <w:t>Способ_фиг5.png</w:t>
      </w:r>
      <w:r>
        <w:t xml:space="preserve">, </w:t>
      </w:r>
      <w:r>
        <w:rPr>
          <w:rFonts w:ascii="Consolas" w:hAnsi="Consolas"/>
          <w:sz w:val="18"/>
        </w:rPr>
        <w:t>Способ_фиг6.png</w:t>
      </w:r>
      <w:r>
        <w:t xml:space="preserve">, </w:t>
      </w:r>
      <w:r>
        <w:rPr>
          <w:rFonts w:ascii="Consolas" w:hAnsi="Consolas"/>
          <w:sz w:val="18"/>
        </w:rPr>
        <w:t>Способ_фиг7.png</w:t>
      </w:r>
      <w:r>
        <w:t xml:space="preserve">, </w:t>
      </w:r>
      <w:r>
        <w:rPr>
          <w:rFonts w:ascii="Consolas" w:hAnsi="Consolas"/>
          <w:sz w:val="18"/>
        </w:rPr>
        <w:t>Устройство_фиг2.png</w:t>
      </w:r>
      <w:r>
        <w:t xml:space="preserve">) в едином стиле с прежними — чёрно-белая штриховая графика, в рамках только номера позиций. Отрисовка </w:t>
      </w:r>
      <w:r>
        <w:rPr>
          <w:b/>
        </w:rPr>
        <w:t>рабочая</w:t>
      </w:r>
      <w:r>
        <w:t xml:space="preserve">: топология, состав блоков и подписи верны, но оформление под ГОСТ (рамки, штампы, толщины линий) не выполнено. Исходник отрисовки — </w:t>
      </w:r>
      <w:r>
        <w:rPr>
          <w:rFonts w:ascii="Consolas" w:hAnsi="Consolas"/>
          <w:sz w:val="18"/>
        </w:rPr>
        <w:t>_draw_figs.py</w:t>
      </w:r>
      <w:r>
        <w:t xml:space="preserve">, там же параметры раскладки; схемы в текстовом виде — </w:t>
      </w:r>
      <w:r>
        <w:rPr>
          <w:rFonts w:ascii="Consolas" w:hAnsi="Consolas"/>
          <w:sz w:val="18"/>
        </w:rPr>
        <w:t>blocksch_NGPU_mermaid.md</w:t>
      </w:r>
      <w:r>
        <w:t>.</w:t>
      </w:r>
    </w:p>
    <w:p>
      <w:pPr>
        <w:pStyle w:val="Heading2"/>
      </w:pPr>
      <w:r>
        <w:t>7. Приложения</w:t>
      </w:r>
    </w:p>
    <w:p>
      <w:pPr>
        <w:pStyle w:val="ListNumber"/>
      </w:pPr>
      <w:r>
        <w:rPr>
          <w:rFonts w:ascii="Consolas" w:hAnsi="Consolas"/>
          <w:sz w:val="18"/>
        </w:rPr>
        <w:t>zayavka_SPOSOB.md</w:t>
      </w:r>
      <w:r>
        <w:t xml:space="preserve"> — заявка на способ, дополненная редакция.</w:t>
      </w:r>
    </w:p>
    <w:p>
      <w:pPr>
        <w:pStyle w:val="ListNumber"/>
      </w:pPr>
      <w:r>
        <w:rPr>
          <w:rFonts w:ascii="Consolas" w:hAnsi="Consolas"/>
          <w:sz w:val="18"/>
        </w:rPr>
        <w:t>zayavka_USTROJSTVO.md</w:t>
      </w:r>
      <w:r>
        <w:t xml:space="preserve"> — заявка на устройство, дополненная редакция.</w:t>
      </w:r>
    </w:p>
    <w:p>
      <w:pPr>
        <w:pStyle w:val="ListNumber"/>
      </w:pPr>
      <w:r>
        <w:rPr>
          <w:rFonts w:ascii="Consolas" w:hAnsi="Consolas"/>
          <w:sz w:val="18"/>
        </w:rPr>
        <w:t>bloki_ustroystva_20.md</w:t>
      </w:r>
      <w:r>
        <w:t xml:space="preserve"> — перечень блоков, дополнен блоками 21, 22, правка блока 3.</w:t>
      </w:r>
    </w:p>
    <w:p>
      <w:pPr>
        <w:pStyle w:val="ListNumber"/>
      </w:pPr>
      <w:r>
        <w:rPr>
          <w:rFonts w:ascii="Consolas" w:hAnsi="Consolas"/>
          <w:sz w:val="18"/>
        </w:rPr>
        <w:t>formula_izobreteniya.md</w:t>
      </w:r>
      <w:r>
        <w:t xml:space="preserve"> — рабочий свод формулы.</w:t>
      </w:r>
    </w:p>
    <w:p>
      <w:pPr>
        <w:pStyle w:val="ListNumber"/>
      </w:pPr>
      <w:r>
        <w:rPr>
          <w:rFonts w:ascii="Consolas" w:hAnsi="Consolas"/>
          <w:sz w:val="18"/>
        </w:rPr>
        <w:t>blocksch_NGPU_mermaid.md</w:t>
      </w:r>
      <w:r>
        <w:t xml:space="preserve"> — исходники новых чертежей.</w:t>
      </w:r>
    </w:p>
    <w:p>
      <w:pPr>
        <w:pStyle w:val="ListNumber"/>
      </w:pPr>
      <w:r>
        <w:rPr>
          <w:rFonts w:ascii="Consolas" w:hAnsi="Consolas"/>
          <w:sz w:val="18"/>
        </w:rPr>
        <w:t>../NGPUand/00_TEORIYA_NGPU_konveyer.md</w:t>
      </w:r>
      <w:r>
        <w:t xml:space="preserve"> — техническое обоснование, включая расчёты и перечень нерешённого.</w:t>
      </w:r>
    </w:p>
    <w:p>
      <w:pPr>
        <w:jc w:val="both"/>
      </w:pPr>
      <w:r>
        <w:t>С уважением, Ланин 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