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глава-1.-задача-и-модель-угрозы"/>
      <w:r>
        <w:t xml:space="preserve">Глава 1. Задача и модель угрозы</w:t>
      </w:r>
      <w:bookmarkEnd w:id="20"/>
    </w:p>
    <w:p>
      <w:pPr>
        <w:pStyle w:val="Heading2"/>
      </w:pPr>
      <w:bookmarkStart w:id="21" w:name="задача"/>
      <w:r>
        <w:t xml:space="preserve">1.1. Задача</w:t>
      </w:r>
      <w:bookmarkEnd w:id="21"/>
    </w:p>
    <w:p>
      <w:pPr>
        <w:pStyle w:val="FirstParagraph"/>
      </w:pPr>
      <w:r>
        <w:t xml:space="preserve">Моностатический UHF-радар (~0.5 ГГц) с активной фазированной антенной решёткой (АФАР) должен надёжно распознавать истинную цель на фоне самоприкрывающих помех и выдавать целеуказание. Приоритеты — в порядке: надёжность распознавания → скорость обработки → красота (единство) решения. Радар использует два основных зонда:</w:t>
      </w:r>
      <w:r>
        <w:t xml:space="preserve"> </w:t>
      </w:r>
      <w:r>
        <w:rPr>
          <w:b/>
        </w:rPr>
        <w:t xml:space="preserve">широкий ЛЧМ</w:t>
      </w:r>
      <w:r>
        <w:t xml:space="preserve"> </w:t>
      </w:r>
      <w:r>
        <w:t xml:space="preserve">для поиска («куда смотреть») и агильный фазоманипулированный</w:t>
      </w:r>
      <w:r>
        <w:t xml:space="preserve"> </w:t>
      </w:r>
      <w:r>
        <w:rPr>
          <w:b/>
        </w:rPr>
        <w:t xml:space="preserve">FM-m</w:t>
      </w:r>
      <w:r>
        <w:t xml:space="preserve"> </w:t>
      </w:r>
      <w:r>
        <w:t xml:space="preserve">для адресного многолучевого опроса площадей кандидатов; опционально — лёгкий</w:t>
      </w:r>
      <w:r>
        <w:t xml:space="preserve"> </w:t>
      </w:r>
      <w:r>
        <w:rPr>
          <w:b/>
        </w:rPr>
        <w:t xml:space="preserve">амплитудно-модулированный (AM) зонд</w:t>
      </w:r>
      <w:r>
        <w:t xml:space="preserve"> </w:t>
      </w:r>
      <w:r>
        <w:t xml:space="preserve">для быстрого грубого присутствия «есть/нет + где» перед точным трактом (глава 4-бис). Ключевая черта решения —</w:t>
      </w:r>
      <w:r>
        <w:t xml:space="preserve"> </w:t>
      </w:r>
      <w:r>
        <w:rPr>
          <w:b/>
        </w:rPr>
        <w:t xml:space="preserve">одно ядро обработки со сменным интерфейсом под тип сигнала</w:t>
      </w:r>
      <w:r>
        <w:t xml:space="preserve"> </w:t>
      </w:r>
      <w:r>
        <w:t xml:space="preserve">(глава 0).</w:t>
      </w:r>
    </w:p>
    <w:p>
      <w:pPr>
        <w:pStyle w:val="Heading2"/>
      </w:pPr>
      <w:bookmarkStart w:id="22" w:name="модель-угрозы-самоприкрытие"/>
      <w:r>
        <w:t xml:space="preserve">1.2. Модель угрозы — самоприкрытие</w:t>
      </w:r>
      <w:bookmarkEnd w:id="22"/>
    </w:p>
    <w:p>
      <w:pPr>
        <w:pStyle w:val="FirstParagraph"/>
      </w:pPr>
      <w:r>
        <w:t xml:space="preserve">Основная угроза — помеха, излучаемая с носителя самой цели (самоприкрытие):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DRFM/ISRJ</w:t>
      </w:r>
      <w:r>
        <w:t xml:space="preserve"> </w:t>
      </w:r>
      <w:r>
        <w:t xml:space="preserve">— гребёнка ложных целей, часто ярче истинной;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SMSP</w:t>
      </w:r>
      <w:r>
        <w:t xml:space="preserve"> </w:t>
      </w:r>
      <w:r>
        <w:t xml:space="preserve">— размытие спектра;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заградительная</w:t>
      </w:r>
      <w:r>
        <w:t xml:space="preserve"> </w:t>
      </w:r>
      <w:r>
        <w:t xml:space="preserve">(шумовая по полосе);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RFI</w:t>
      </w:r>
      <w:r>
        <w:t xml:space="preserve"> </w:t>
      </w:r>
      <w:r>
        <w:t xml:space="preserve">— сторонний непрерывный источник.</w:t>
      </w:r>
    </w:p>
    <w:p>
      <w:pPr>
        <w:pStyle w:val="FirstParagraph"/>
      </w:pPr>
      <w:r>
        <w:t xml:space="preserve">Ключевая трудность: по одному угловому срезу отклик ретранслятора структурно не отличается от отражения цели. Нужен различитель, устойчивый к адаптивному противнику, а не только к энергетике.</w:t>
      </w:r>
    </w:p>
    <w:p>
      <w:pPr>
        <w:pStyle w:val="Heading2"/>
      </w:pPr>
      <w:bookmarkStart w:id="23" w:name="прототип-и-его-предел"/>
      <w:r>
        <w:t xml:space="preserve">1.3. Прототип и его предел</w:t>
      </w:r>
      <w:bookmarkEnd w:id="23"/>
    </w:p>
    <w:p>
      <w:pPr>
        <w:pStyle w:val="FirstParagraph"/>
      </w:pPr>
      <w:r>
        <w:t xml:space="preserve">Прототип RU2549375C1 (подавление активной помехи двумя каналами — основным и вспомогательным — с корреляцией для компенсации в главном луче) самоприкрытие не тянет: он рассчитан на геометрию отдельного постановщика, а структурного различителя «цель/ложь» в нём нет.</w:t>
      </w:r>
    </w:p>
    <w:p>
      <w:pPr>
        <w:pStyle w:val="Heading2"/>
      </w:pPr>
      <w:bookmarkStart w:id="24" w:name="наш-ответ"/>
      <w:r>
        <w:t xml:space="preserve">1.4. Наш ответ</w:t>
      </w:r>
      <w:bookmarkEnd w:id="24"/>
    </w:p>
    <w:p>
      <w:pPr>
        <w:pStyle w:val="FirstParagraph"/>
      </w:pPr>
      <w:r>
        <w:t xml:space="preserve">Ядро решения —</w:t>
      </w:r>
      <w:r>
        <w:t xml:space="preserve"> </w:t>
      </w:r>
      <w:r>
        <w:rPr>
          <w:b/>
        </w:rPr>
        <w:t xml:space="preserve">один объёмный примитив, инвариантный к типу сигнала</w:t>
      </w:r>
      <w:r>
        <w:t xml:space="preserve">. Общий куб «угол×угол×дальность» сворачивается в</w:t>
      </w:r>
      <w:r>
        <w:t xml:space="preserve"> </w:t>
      </w:r>
      <w:r>
        <w:rPr>
          <w:b/>
        </w:rPr>
        <w:t xml:space="preserve">матрицу токенов</w:t>
      </w:r>
      <w:r>
        <w:t xml:space="preserve"> </w:t>
      </w:r>
      <w:r>
        <w:t xml:space="preserve">(главы 4, 4-бис); лёгкий ИИ-</w:t>
      </w:r>
      <w:r>
        <w:rPr>
          <w:b/>
        </w:rPr>
        <w:t xml:space="preserve">гейт</w:t>
      </w:r>
      <w:r>
        <w:t xml:space="preserve"> </w:t>
      </w:r>
      <w:r>
        <w:t xml:space="preserve">и физический причинностный</w:t>
      </w:r>
      <w:r>
        <w:t xml:space="preserve"> </w:t>
      </w:r>
      <w:r>
        <w:rPr>
          <w:b/>
        </w:rPr>
        <w:t xml:space="preserve">арбитр</w:t>
      </w:r>
      <w:r>
        <w:t xml:space="preserve"> </w:t>
      </w:r>
      <w:r>
        <w:t xml:space="preserve">— передний край</w:t>
      </w:r>
      <w:r>
        <w:t xml:space="preserve"> </w:t>
      </w:r>
      <w:r>
        <w:rPr>
          <w:rStyle w:val="VerbatimChar"/>
        </w:rPr>
        <w:t xml:space="preserve">τ≥0</w:t>
      </w:r>
      <w:r>
        <w:t xml:space="preserve"> </w:t>
      </w:r>
      <w:r>
        <w:t xml:space="preserve">и свежесть кода (глава 5) — выделяют истинную цель; из матрицы токенов формируется</w:t>
      </w:r>
      <w:r>
        <w:t xml:space="preserve"> </w:t>
      </w:r>
      <w:r>
        <w:rPr>
          <w:b/>
        </w:rPr>
        <w:t xml:space="preserve">многолучевой агильный опрос FM-m</w:t>
      </w:r>
      <w:r>
        <w:t xml:space="preserve"> </w:t>
      </w:r>
      <w:r>
        <w:t xml:space="preserve">(главы 6, 8). Куб заполняет</w:t>
      </w:r>
      <w:r>
        <w:t xml:space="preserve"> </w:t>
      </w:r>
      <w:r>
        <w:rPr>
          <w:b/>
        </w:rPr>
        <w:t xml:space="preserve">сменный интерфейс</w:t>
      </w:r>
      <w:r>
        <w:t xml:space="preserve"> </w:t>
      </w:r>
      <w:r>
        <w:t xml:space="preserve">под сигнал: ЛЧМ — дальностно-разрешённо (глава 3), AM — грубым скользящим 3D-FFT для быстрого «есть/нет + примерно где» (глава 4-бис). Дешёвый инвариант гейтит дорогой агильный зонд; физика — арбитр, нейросеть — адъюнкт;</w:t>
      </w:r>
      <w:r>
        <w:t xml:space="preserve"> </w:t>
      </w:r>
      <w:r>
        <w:rPr>
          <w:b/>
        </w:rPr>
        <w:t xml:space="preserve">ядро — одно, интерфейс — сменный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2026-07-10T13:24:54Z</dcterms:created>
  <dcterms:modified xsi:type="dcterms:W3CDTF">2026-07-10T13:24:54Z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