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40228c7027a1da3f253c58769e559e4b789f9c"/>
      <w:r>
        <w:t xml:space="preserve">Глава 2. Тракт приёма и первичная обработка</w:t>
      </w:r>
      <w:bookmarkEnd w:id="20"/>
    </w:p>
    <w:p>
      <w:pPr>
        <w:pStyle w:val="FirstParagraph"/>
      </w:pPr>
      <w:r>
        <w:t xml:space="preserve">Ниже — приёмный тракт</w:t>
      </w:r>
      <w:r>
        <w:t xml:space="preserve"> </w:t>
      </w:r>
      <w:r>
        <w:rPr>
          <w:b/>
        </w:rPr>
        <w:t xml:space="preserve">ЛЧМ-интерфейса</w:t>
      </w:r>
      <w:r>
        <w:t xml:space="preserve"> </w:t>
      </w:r>
      <w:r>
        <w:t xml:space="preserve">(для AM-присутствия фронтенд иной, глава 4-бис); дальше идёт общее ядро.</w:t>
      </w:r>
    </w:p>
    <w:p>
      <w:pPr>
        <w:pStyle w:val="Heading2"/>
      </w:pPr>
      <w:bookmarkStart w:id="21" w:name="аппаратная-цепочка"/>
      <w:r>
        <w:t xml:space="preserve">2.1. Аппаратная цепочка</w:t>
      </w:r>
      <w:bookmarkEnd w:id="21"/>
    </w:p>
    <w:p>
      <w:pPr>
        <w:pStyle w:val="FirstParagraph"/>
      </w:pPr>
      <w:r>
        <w:t xml:space="preserve">АФАР → АЦП →</w:t>
      </w:r>
      <w:r>
        <w:t xml:space="preserve"> </w:t>
      </w:r>
      <w:r>
        <w:rPr>
          <w:b/>
        </w:rPr>
        <w:t xml:space="preserve">гетеродин-дечирп на ПЛИС</w:t>
      </w:r>
      <w:r>
        <w:t xml:space="preserve"> </w:t>
      </w:r>
      <w:r>
        <w:t xml:space="preserve">(stretch-processing) → сырые комплексные IQ. Дечирп на приёме смешивает принятый ЛЧМ с опорным и превращает задержку цели в постоянную частоту биений — тяжёлое широкополосное сжатие уходит в аналог/ПЛИС, на GPU приходит уже узкополосный поток.</w:t>
      </w:r>
    </w:p>
    <w:p>
      <w:pPr>
        <w:pStyle w:val="Heading2"/>
      </w:pPr>
      <w:bookmarkStart w:id="22" w:name="дечирп-задержка-частота"/>
      <w:r>
        <w:t xml:space="preserve">2.2. Дечирп: задержка → частота</w:t>
      </w:r>
      <w:bookmarkEnd w:id="22"/>
    </w:p>
    <w:p>
      <w:pPr>
        <w:pStyle w:val="SourceCode"/>
      </w:pPr>
      <w:r>
        <w:rPr>
          <w:rStyle w:val="VerbatimChar"/>
        </w:rPr>
        <w:t xml:space="preserve">f_b = μ · 2R/c ,   μ = ΔF / T_c</w:t>
      </w:r>
    </w:p>
    <w:p>
      <w:pPr>
        <w:pStyle w:val="FirstParagraph"/>
      </w:pPr>
      <w:r>
        <w:t xml:space="preserve">Одна цель после дечирпа — один тон (одна частота биений); гребёнка ложных целей — ряд тонов с шагом, отвечающим их шагу по дальности.</w:t>
      </w:r>
    </w:p>
    <w:p>
      <w:pPr>
        <w:pStyle w:val="Heading2"/>
      </w:pPr>
      <w:bookmarkStart w:id="23" w:name="поток-за-такт"/>
      <w:r>
        <w:t xml:space="preserve">2.3. Поток за такт</w:t>
      </w:r>
      <w:bookmarkEnd w:id="23"/>
    </w:p>
    <w:p>
      <w:pPr>
        <w:pStyle w:val="FirstParagraph"/>
      </w:pPr>
      <w:r>
        <w:t xml:space="preserve">После дечирпа за такт получаем</w:t>
      </w:r>
      <w:r>
        <w:t xml:space="preserve"> </w:t>
      </w:r>
      <w:r>
        <w:rPr>
          <w:b/>
        </w:rPr>
        <w:t xml:space="preserve">N комплексных отсчётов</w:t>
      </w:r>
      <w:r>
        <w:t xml:space="preserve">, где N переменна (до ~1.3М на канал). Число не фиксируется тактом; размер дальностного FFT ставится под текущее N (глава 3).</w:t>
      </w:r>
    </w:p>
    <w:p>
      <w:pPr>
        <w:pStyle w:val="Heading2"/>
      </w:pPr>
      <w:bookmarkStart w:id="24" w:name="батч-бпф"/>
      <w:r>
        <w:t xml:space="preserve">2.4. Батч-БПФ</w:t>
      </w:r>
      <w:bookmarkEnd w:id="24"/>
    </w:p>
    <w:p>
      <w:pPr>
        <w:pStyle w:val="FirstParagraph"/>
      </w:pPr>
      <w:r>
        <w:t xml:space="preserve">Дальностный БПФ по всем 256 антеннам считается</w:t>
      </w:r>
      <w:r>
        <w:t xml:space="preserve"> </w:t>
      </w:r>
      <w:r>
        <w:rPr>
          <w:b/>
        </w:rPr>
        <w:t xml:space="preserve">батчем на GPU за один вызов</w:t>
      </w:r>
      <w:r>
        <w:t xml:space="preserve">. Данные остаются</w:t>
      </w:r>
      <w:r>
        <w:t xml:space="preserve"> </w:t>
      </w:r>
      <w:r>
        <w:rPr>
          <w:b/>
        </w:rPr>
        <w:t xml:space="preserve">комплексными</w:t>
      </w:r>
      <w:r>
        <w:t xml:space="preserve"> </w:t>
      </w:r>
      <w:r>
        <w:t xml:space="preserve">— фаза нужна последующему угловому БПФ (главы 3–4).</w:t>
      </w:r>
    </w:p>
    <w:p>
      <w:pPr>
        <w:pStyle w:val="Heading2"/>
      </w:pPr>
      <w:bookmarkStart w:id="25" w:name="вывод"/>
      <w:r>
        <w:t xml:space="preserve">2.5. Вывод</w:t>
      </w:r>
      <w:bookmarkEnd w:id="25"/>
    </w:p>
    <w:p>
      <w:pPr>
        <w:pStyle w:val="FirstParagraph"/>
      </w:pPr>
      <w:r>
        <w:t xml:space="preserve">После дечирпа</w:t>
      </w:r>
      <w:r>
        <w:t xml:space="preserve"> </w:t>
      </w:r>
      <w:r>
        <w:rPr>
          <w:b/>
        </w:rPr>
        <w:t xml:space="preserve">частота = дальность</w:t>
      </w:r>
      <w:r>
        <w:t xml:space="preserve">: спектр среза сразу даёт дальностный профиль (одна цель → пик; гребёнка → ряд пиков). Это и есть вход в каскад — тензор</w:t>
      </w:r>
      <w:r>
        <w:t xml:space="preserve"> </w:t>
      </w:r>
      <w:r>
        <w:rPr>
          <w:rStyle w:val="VerbatimChar"/>
        </w:rPr>
        <w:t xml:space="preserve">16×16×N</w:t>
      </w:r>
      <w:r>
        <w:t xml:space="preserve">, с которого начинается глава 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2026-07-10T13:24:54Z</dcterms:created>
  <dcterms:modified xsi:type="dcterms:W3CDTF">2026-07-10T13:24:54Z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