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b1ed027f83db7ffe13b58fae921e8c1029206b"/>
      <w:r>
        <w:t xml:space="preserve">Глава 3. Интерфейс ЛЧМ: два преобразования Фурье</w:t>
      </w:r>
      <w:bookmarkEnd w:id="20"/>
    </w:p>
    <w:p>
      <w:pPr>
        <w:pStyle w:val="FirstParagraph"/>
      </w:pPr>
      <w:r>
        <w:t xml:space="preserve">Эта глава описывает</w:t>
      </w:r>
      <w:r>
        <w:t xml:space="preserve"> </w:t>
      </w:r>
      <w:r>
        <w:rPr>
          <w:b/>
        </w:rPr>
        <w:t xml:space="preserve">один из интерфейсов</w:t>
      </w:r>
      <w:r>
        <w:t xml:space="preserve"> </w:t>
      </w:r>
      <w:r>
        <w:t xml:space="preserve">(фронтендов) — дальностно-разрешённый ЛЧМ-тракт, который заполняет общий куб «угол×угол×дальность»; само ядро и объёмный примитив над кубом — в главе 4-бис. За каждый рабочий такт приёмный тракт даёт комплексный массив</w:t>
      </w:r>
      <w:r>
        <w:t xml:space="preserve"> </w:t>
      </w:r>
      <w:r>
        <w:rPr>
          <w:b/>
        </w:rPr>
        <w:t xml:space="preserve">16×16×N</w:t>
      </w:r>
      <w:r>
        <w:t xml:space="preserve"> </w:t>
      </w:r>
      <w:r>
        <w:t xml:space="preserve">— апертура × апертура × дальность, где N (глубина по оси быстрого времени) переменна и определяется тактом. Настоящая глава фиксирует геометрию этого массива и обработку, которая превращает его в картину угол × угол × дальность двумя раздельными преобразованиями Фурье — это «точный» интерфейс (в отличие от грубого AM, глава 4-бис).</w:t>
      </w:r>
    </w:p>
    <w:p>
      <w:pPr>
        <w:pStyle w:val="Heading2"/>
      </w:pPr>
      <w:bookmarkStart w:id="21" w:name="что-на-входе"/>
      <w:r>
        <w:t xml:space="preserve">3.1. Что на входе</w:t>
      </w:r>
      <w:bookmarkEnd w:id="21"/>
    </w:p>
    <w:p>
      <w:pPr>
        <w:pStyle w:val="FirstParagraph"/>
      </w:pPr>
      <w:r>
        <w:t xml:space="preserve">Сигнал — линейно-частотно-модулированный (ЛЧМ), уже дечирпованный на приёме (stretch-processing). После дечирпа задержка цели превращается в постоянную частоту биений, и дальность закодирована именно в частоте:</w:t>
      </w:r>
    </w:p>
    <w:p>
      <w:pPr>
        <w:pStyle w:val="SourceCode"/>
      </w:pPr>
      <w:r>
        <w:rPr>
          <w:rStyle w:val="VerbatimChar"/>
        </w:rPr>
        <w:t xml:space="preserve">f_b = μ · 2R/c ,   μ = ΔF / T_c</w:t>
      </w:r>
    </w:p>
    <w:p>
      <w:pPr>
        <w:pStyle w:val="FirstParagraph"/>
      </w:pPr>
      <w:r>
        <w:t xml:space="preserve">Оси массива: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X, Y — апертура 16×16</w:t>
      </w:r>
      <w:r>
        <w:t xml:space="preserve"> </w:t>
      </w:r>
      <w:r>
        <w:t xml:space="preserve">(256 элементов решётки);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 — ось быстрого (дечирпованного) времени</w:t>
      </w:r>
      <w:r>
        <w:t xml:space="preserve">, N комплексных отсчётов; N переменна за такт. Дальность в Z ещё не проявлена — она сидит в частоте биений и извлекается первым FFT.</w:t>
      </w:r>
    </w:p>
    <w:p>
      <w:pPr>
        <w:pStyle w:val="BodyText"/>
      </w:pPr>
      <w:r>
        <w:t xml:space="preserve">Один импульс доплера не несёт (цель даёт один пик, в котором дальность и доплер смешаны); доплер добавляется отдельной, четвёртой осью по пачке импульсов (см. §3.5).</w:t>
      </w:r>
    </w:p>
    <w:p>
      <w:pPr>
        <w:pStyle w:val="Heading2"/>
      </w:pPr>
      <w:bookmarkStart w:id="22" w:name="два-раздельных-преобразования-фурье"/>
      <w:r>
        <w:t xml:space="preserve">3.2. Два раздельных преобразования Фурье</w:t>
      </w:r>
      <w:bookmarkEnd w:id="22"/>
    </w:p>
    <w:p>
      <w:pPr>
        <w:pStyle w:val="FirstParagraph"/>
      </w:pPr>
      <w:r>
        <w:t xml:space="preserve">Обработка — это</w:t>
      </w:r>
      <w:r>
        <w:t xml:space="preserve"> </w:t>
      </w:r>
      <w:r>
        <w:rPr>
          <w:b/>
        </w:rPr>
        <w:t xml:space="preserve">два разных FFT в разных местах конвейера</w:t>
      </w:r>
      <w:r>
        <w:t xml:space="preserve">, а не одно трёхмерное преобразование.</w:t>
      </w:r>
    </w:p>
    <w:p>
      <w:pPr>
        <w:pStyle w:val="BodyText"/>
      </w:pPr>
      <w:r>
        <w:rPr>
          <w:b/>
        </w:rPr>
        <w:t xml:space="preserve">Первый — дальностный FFT, глобально по оси Z, один раз</w:t>
      </w:r>
      <w:r>
        <w:t xml:space="preserve"> </w:t>
      </w:r>
      <w:r>
        <w:t xml:space="preserve">(rocFFT). Он превращает частоты биений в дальность: после него ось Z становится дальностью с N бинами. Длина N произвольна — rocFFT выполняет её смешанным radix; при необходимости чистого radix-2 ось добивают нулями до ближайшей степени двойки. (Это дополнение относится к дальностной оси и не связано с агильной длиной кода FM-m из главы 6.)</w:t>
      </w:r>
    </w:p>
    <w:p>
      <w:pPr>
        <w:pStyle w:val="BodyText"/>
      </w:pPr>
      <w:r>
        <w:t xml:space="preserve">Дальность локализуется одним глобальным преобразованием по всей записи: после дечирпа цель — тон на всю длину Z, поэтому посегментная оконная обработка по дальности не требуется.</w:t>
      </w:r>
    </w:p>
    <w:p>
      <w:pPr>
        <w:pStyle w:val="BodyText"/>
      </w:pPr>
      <w:r>
        <w:t xml:space="preserve">Данные до этого момента держат</w:t>
      </w:r>
      <w:r>
        <w:t xml:space="preserve"> </w:t>
      </w:r>
      <w:r>
        <w:rPr>
          <w:b/>
        </w:rPr>
        <w:t xml:space="preserve">комплексными</w:t>
      </w:r>
      <w:r>
        <w:t xml:space="preserve">: следующий, угловой FFT формирует луч когерентным сложением по апертуре, и ему нужна фаза между 256 элементами. Магнитуду</w:t>
      </w:r>
      <w:r>
        <w:t xml:space="preserve"> </w:t>
      </w:r>
      <w:r>
        <w:rPr>
          <w:rStyle w:val="VerbatimChar"/>
        </w:rPr>
        <w:t xml:space="preserve">|·|²</w:t>
      </w:r>
      <w:r>
        <w:t xml:space="preserve"> </w:t>
      </w:r>
      <w:r>
        <w:t xml:space="preserve">берут только после углового FFT.</w:t>
      </w:r>
    </w:p>
    <w:p>
      <w:pPr>
        <w:pStyle w:val="BodyText"/>
      </w:pPr>
      <w:r>
        <w:rPr>
          <w:b/>
        </w:rPr>
        <w:t xml:space="preserve">Второй — угловой FFT 16×16, поячеечно, на каждом бине дальности</w:t>
      </w:r>
      <w:r>
        <w:t xml:space="preserve">, на матричных (тензорных) блоках GPU (WMMA). Он и даёт угловую карту среза. Порядок осей результата —</w:t>
      </w:r>
      <w:r>
        <w:t xml:space="preserve"> </w:t>
      </w:r>
      <w:r>
        <w:rPr>
          <w:b/>
        </w:rPr>
        <w:t xml:space="preserve">угол × угол × дальность</w:t>
      </w:r>
      <w:r>
        <w:t xml:space="preserve">.</w:t>
      </w:r>
    </w:p>
    <w:p>
      <w:pPr>
        <w:pStyle w:val="CaptionedFigure"/>
      </w:pPr>
      <w:r>
        <w:drawing>
          <wp:inline>
            <wp:extent cx="5334000" cy="2703774"/>
            <wp:effectExtent b="0" l="0" r="0" t="0"/>
            <wp:docPr descr="Два FFT: глобальный дальностный по Z и поячеечный угловой 16×16" title="" id="1" name="Picture"/>
            <a:graphic>
              <a:graphicData uri="http://schemas.openxmlformats.org/drawingml/2006/picture">
                <pic:pic>
                  <pic:nvPicPr>
                    <pic:cNvPr descr="cube_bo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FFT: глобальный дальностный по Z и поячеечный угловой 16×16</w:t>
      </w:r>
    </w:p>
    <w:p>
      <w:pPr>
        <w:pStyle w:val="BlockText"/>
      </w:pPr>
      <w:r>
        <w:rPr>
          <w:rStyle w:val="VerbatimChar"/>
        </w:rPr>
        <w:t xml:space="preserve">[Рис — заметка]</w:t>
      </w:r>
      <w:r>
        <w:t xml:space="preserve"> </w:t>
      </w:r>
      <w:r>
        <w:t xml:space="preserve">текущий рисунок сделан под 3D-FFT и</w:t>
      </w:r>
      <w:r>
        <w:t xml:space="preserve"> </w:t>
      </w:r>
      <w:r>
        <w:rPr>
          <w:b/>
        </w:rPr>
        <w:t xml:space="preserve">неверен</w:t>
      </w:r>
      <w:r>
        <w:t xml:space="preserve">; подлежит замене. Для патента рисунок не требуется — оставлен как напоминание.</w:t>
      </w:r>
    </w:p>
    <w:p>
      <w:pPr>
        <w:pStyle w:val="Heading2"/>
      </w:pPr>
      <w:bookmarkStart w:id="24" w:name="метрика-параметрическая"/>
      <w:r>
        <w:t xml:space="preserve">3.3. Метрика (параметрическая)</w:t>
      </w:r>
      <w:bookmarkEnd w:id="24"/>
    </w:p>
    <w:p>
      <w:pPr>
        <w:pStyle w:val="FirstParagraph"/>
      </w:pPr>
      <w:r>
        <w:t xml:space="preserve">Все шкалы и пороги считаются на ходу из</w:t>
      </w:r>
      <w:r>
        <w:t xml:space="preserve"> </w:t>
      </w:r>
      <w:r>
        <w:rPr>
          <w:rStyle w:val="VerbatimChar"/>
        </w:rPr>
        <w:t xml:space="preserve">ΔF, f_s, d</w:t>
      </w:r>
      <w:r>
        <w:t xml:space="preserve">; алгоритм при этом постоянен.</w:t>
      </w:r>
    </w:p>
    <w:p>
      <w:pPr>
        <w:pStyle w:val="BodyText"/>
      </w:pPr>
      <w:r>
        <w:rPr>
          <w:b/>
        </w:rPr>
        <w:t xml:space="preserve">Разрешение по дальности</w:t>
      </w:r>
      <w:r>
        <w:t xml:space="preserve"> </w:t>
      </w:r>
      <w:r>
        <w:t xml:space="preserve">задаёт девиация ЛЧМ:</w:t>
      </w:r>
    </w:p>
    <w:p>
      <w:pPr>
        <w:pStyle w:val="SourceCode"/>
      </w:pPr>
      <w:r>
        <w:rPr>
          <w:rStyle w:val="VerbatimChar"/>
        </w:rPr>
        <w:t xml:space="preserve">Δr = c / (2·ΔF)</w:t>
      </w:r>
    </w:p>
    <w:p>
      <w:pPr>
        <w:pStyle w:val="FirstParagraph"/>
      </w:pPr>
      <w:r>
        <w:t xml:space="preserve">В знаменателе — именно девиация</w:t>
      </w:r>
      <w:r>
        <w:t xml:space="preserve"> </w:t>
      </w:r>
      <w:r>
        <w:rPr>
          <w:rStyle w:val="VerbatimChar"/>
        </w:rPr>
        <w:t xml:space="preserve">ΔF</w:t>
      </w:r>
      <w:r>
        <w:t xml:space="preserve"> </w:t>
      </w:r>
      <w:r>
        <w:t xml:space="preserve">(полоса ЛЧМ). База</w:t>
      </w:r>
      <w:r>
        <w:t xml:space="preserve"> </w:t>
      </w:r>
      <w:r>
        <w:rPr>
          <w:rStyle w:val="VerbatimChar"/>
        </w:rPr>
        <w:t xml:space="preserve">B = T_c·ΔF</w:t>
      </w:r>
      <w:r>
        <w:t xml:space="preserve"> </w:t>
      </w:r>
      <w:r>
        <w:t xml:space="preserve">(длительность × девиация) безразмерна и отвечает за помехозащищённость, а не за разрешение; запись</w:t>
      </w:r>
      <w:r>
        <w:t xml:space="preserve"> </w:t>
      </w:r>
      <w:r>
        <w:rPr>
          <w:rStyle w:val="VerbatimChar"/>
        </w:rPr>
        <w:t xml:space="preserve">Δr = c/(2B)</w:t>
      </w:r>
      <w:r>
        <w:t xml:space="preserve"> </w:t>
      </w:r>
      <w:r>
        <w:t xml:space="preserve">неверна.</w:t>
      </w:r>
    </w:p>
    <w:p>
      <w:pPr>
        <w:pStyle w:val="BodyText"/>
      </w:pPr>
      <w:r>
        <w:rPr>
          <w:b/>
        </w:rPr>
        <w:t xml:space="preserve">Угловая шкала</w:t>
      </w:r>
      <w:r>
        <w:t xml:space="preserve"> </w:t>
      </w:r>
      <w:r>
        <w:t xml:space="preserve">при шаге решётки</w:t>
      </w:r>
      <w:r>
        <w:t xml:space="preserve"> </w:t>
      </w:r>
      <w:r>
        <w:rPr>
          <w:rStyle w:val="VerbatimChar"/>
        </w:rPr>
        <w:t xml:space="preserve">d = λ/2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sinθ = k·λ / (N_ап·d) = k/8 ,   k = −8 … 7  (после fftshift)</w:t>
      </w:r>
    </w:p>
    <w:p>
      <w:pPr>
        <w:pStyle w:val="FirstParagraph"/>
      </w:pPr>
      <w:r>
        <w:t xml:space="preserve">разрешение по</w:t>
      </w:r>
      <w:r>
        <w:t xml:space="preserve"> </w:t>
      </w:r>
      <w:r>
        <w:rPr>
          <w:rStyle w:val="VerbatimChar"/>
        </w:rPr>
        <w:t xml:space="preserve">sinθ</w:t>
      </w:r>
      <w:r>
        <w:t xml:space="preserve"> </w:t>
      </w:r>
      <w:r>
        <w:t xml:space="preserve">равно 1/8 (≈ 7° у визирования), покрытие — практически полусфера (</w:t>
      </w:r>
      <w:r>
        <w:rPr>
          <w:rStyle w:val="VerbatimChar"/>
        </w:rPr>
        <w:t xml:space="preserve">sinθ = −1…0.875</w:t>
      </w:r>
      <w:r>
        <w:t xml:space="preserve">, верхний край чуть недобирает).</w:t>
      </w:r>
    </w:p>
    <w:p>
      <w:pPr>
        <w:pStyle w:val="BodyText"/>
      </w:pPr>
      <w:r>
        <w:rPr>
          <w:b/>
        </w:rPr>
        <w:t xml:space="preserve">Числовой пример</w:t>
      </w:r>
      <w:r>
        <w:t xml:space="preserve"> </w:t>
      </w:r>
      <w:r>
        <w:t xml:space="preserve">(малое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взято лишь для наглядности арифметики; в работе</w:t>
      </w:r>
      <w:r>
        <w:t xml:space="preserve"> </w:t>
      </w:r>
      <w:r>
        <w:rPr>
          <w:rStyle w:val="VerbatimChar"/>
        </w:rPr>
        <w:t xml:space="preserve">N ~ 10⁵–10⁶</w:t>
      </w:r>
      <w:r>
        <w:t xml:space="preserve">, до ~1.3М):</w:t>
      </w:r>
      <w:r>
        <w:t xml:space="preserve"> </w:t>
      </w:r>
      <w:r>
        <w:rPr>
          <w:rStyle w:val="VerbatimChar"/>
        </w:rPr>
        <w:t xml:space="preserve">ΔF ≈ 6 МГц</w:t>
      </w:r>
      <w:r>
        <w:t xml:space="preserve">,</w:t>
      </w:r>
      <w:r>
        <w:t xml:space="preserve"> </w:t>
      </w:r>
      <w:r>
        <w:rPr>
          <w:rStyle w:val="VerbatimChar"/>
        </w:rPr>
        <w:t xml:space="preserve">f_s = 2 МГц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10000</w:t>
      </w:r>
      <w:r>
        <w:t xml:space="preserve">, UHF</w:t>
      </w:r>
      <w:r>
        <w:t xml:space="preserve"> </w:t>
      </w:r>
      <w:r>
        <w:rPr>
          <w:rStyle w:val="VerbatimChar"/>
        </w:rPr>
        <w:t xml:space="preserve">0.5 ГГц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λ = 0.6 м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0.3 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T_c = N / f_s   = 5 мс      (длительность импульса)</w:t>
      </w:r>
      <w:r>
        <w:br/>
      </w:r>
      <w:r>
        <w:rPr>
          <w:rStyle w:val="VerbatimChar"/>
        </w:rPr>
        <w:t xml:space="preserve">Δr  = c/(2·ΔF)  = 25 м      (разрешение по дальности)</w:t>
      </w:r>
      <w:r>
        <w:br/>
      </w:r>
      <w:r>
        <w:rPr>
          <w:rStyle w:val="VerbatimChar"/>
        </w:rPr>
        <w:t xml:space="preserve">B   = T_c·ΔF    = 30000     (база)</w:t>
      </w:r>
    </w:p>
    <w:p>
      <w:pPr>
        <w:pStyle w:val="FirstParagraph"/>
      </w:pPr>
      <w:r>
        <w:t xml:space="preserve">Для дальней связи</w:t>
      </w:r>
      <w:r>
        <w:t xml:space="preserve"> </w:t>
      </w:r>
      <w:r>
        <w:rPr>
          <w:rStyle w:val="VerbatimChar"/>
        </w:rPr>
        <w:t xml:space="preserve">ΔF = 500 МГц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Δr = 0.3 м</w:t>
      </w:r>
      <w:r>
        <w:t xml:space="preserve">; меняется только число, не алгоритм.</w:t>
      </w:r>
    </w:p>
    <w:p>
      <w:pPr>
        <w:pStyle w:val="Heading2"/>
      </w:pPr>
      <w:bookmarkStart w:id="25" w:name="X6fbbac1798d481326d304cb36176e076f72ac68"/>
      <w:r>
        <w:t xml:space="preserve">3.4. Реализация: два кернела, вычисление на кристалле</w:t>
      </w:r>
      <w:bookmarkEnd w:id="25"/>
    </w:p>
    <w:p>
      <w:pPr>
        <w:pStyle w:val="FirstParagraph"/>
      </w:pPr>
      <w:r>
        <w:t xml:space="preserve">Конвейер главы — два ядра GPU; ключ к скорости в том, что тяжёлая часть считается</w:t>
      </w:r>
      <w:r>
        <w:t xml:space="preserve"> </w:t>
      </w:r>
      <w:r>
        <w:rPr>
          <w:b/>
        </w:rPr>
        <w:t xml:space="preserve">в быстрой внутрикристальной памяти рабочей группы (LDS)</w:t>
      </w:r>
      <w:r>
        <w:t xml:space="preserve">, без обменов с внешней памятью.</w:t>
      </w:r>
    </w:p>
    <w:p>
      <w:pPr>
        <w:pStyle w:val="BodyText"/>
      </w:pPr>
      <w:r>
        <w:rPr>
          <w:b/>
        </w:rPr>
        <w:t xml:space="preserve">Кернел A — дальностный FFT.</w:t>
      </w:r>
      <w:r>
        <w:t xml:space="preserve"> </w:t>
      </w:r>
      <w:r>
        <w:t xml:space="preserve">rocFFT по оси Z, батч 256 каналов. На входе load-callback совмещает окно и опорный дечирп:</w:t>
      </w:r>
      <w:r>
        <w:t xml:space="preserve"> </w:t>
      </w:r>
      <w:r>
        <w:rPr>
          <w:rStyle w:val="VerbatimChar"/>
        </w:rPr>
        <w:t xml:space="preserve">x[z]·w[z]·ref_dechirp[z]</w:t>
      </w:r>
      <w:r>
        <w:t xml:space="preserve">; выход —</w:t>
      </w:r>
      <w:r>
        <w:t xml:space="preserve"> </w:t>
      </w:r>
      <w:r>
        <w:rPr>
          <w:b/>
        </w:rPr>
        <w:t xml:space="preserve">комплексный</w:t>
      </w:r>
      <w:r>
        <w:t xml:space="preserve"> </w:t>
      </w:r>
      <w:r>
        <w:t xml:space="preserve">(магнитуду не берут, впереди угловой FFT); нормировку</w:t>
      </w:r>
      <w:r>
        <w:t xml:space="preserve"> </w:t>
      </w:r>
      <w:r>
        <w:rPr>
          <w:rStyle w:val="VerbatimChar"/>
        </w:rPr>
        <w:t xml:space="preserve">1/N</w:t>
      </w:r>
      <w:r>
        <w:t xml:space="preserve"> </w:t>
      </w:r>
      <w:r>
        <w:t xml:space="preserve">при желании — на store-callback. Результат — комплексный буфер</w:t>
      </w:r>
      <w:r>
        <w:t xml:space="preserve"> </w:t>
      </w:r>
      <w:r>
        <w:rPr>
          <w:rStyle w:val="VerbatimChar"/>
        </w:rPr>
        <w:t xml:space="preserve">16×16×N</w:t>
      </w:r>
      <w:r>
        <w:t xml:space="preserve"> </w:t>
      </w:r>
      <w:r>
        <w:t xml:space="preserve">в VRAM, где Z = дальность.</w:t>
      </w:r>
    </w:p>
    <w:p>
      <w:pPr>
        <w:pStyle w:val="BodyText"/>
      </w:pPr>
      <w:r>
        <w:rPr>
          <w:b/>
        </w:rPr>
        <w:t xml:space="preserve">Кернел B — фьюзед, на тензорных блоках.</w:t>
      </w:r>
      <w:r>
        <w:t xml:space="preserve"> </w:t>
      </w:r>
      <w:r>
        <w:t xml:space="preserve">Один workgroup обрабатывает блок бинов дальности, размещённый в LDS, и выполняет по срезу всю цепочку не выходя из быстрой памяти:</w:t>
      </w:r>
    </w:p>
    <w:p>
      <w:pPr>
        <w:pStyle w:val="SourceCode"/>
      </w:pPr>
      <w:r>
        <w:rPr>
          <w:rStyle w:val="VerbatimChar"/>
        </w:rPr>
        <w:t xml:space="preserve">1. WMMA: угловой FFT 16×16 (комплекс)</w:t>
      </w:r>
      <w:r>
        <w:br/>
      </w:r>
      <w:r>
        <w:rPr>
          <w:rStyle w:val="VerbatimChar"/>
        </w:rPr>
        <w:t xml:space="preserve">2. |·|²  → карта энергии 16×16   (магнитуда здесь, переход в float, fftshift)</w:t>
      </w:r>
      <w:r>
        <w:br/>
      </w:r>
      <w:r>
        <w:rPr>
          <w:rStyle w:val="VerbatimChar"/>
        </w:rPr>
        <w:t xml:space="preserve">3. линейка инвариантных признаков (редукции в LDS)</w:t>
      </w:r>
      <w:r>
        <w:br/>
      </w:r>
      <w:r>
        <w:rPr>
          <w:rStyle w:val="VerbatimChar"/>
        </w:rPr>
        <w:t xml:space="preserve">4. MLP-гейт → метка + скор</w:t>
      </w:r>
      <w:r>
        <w:br/>
      </w:r>
      <w:r>
        <w:rPr>
          <w:rStyle w:val="VerbatimChar"/>
        </w:rPr>
        <w:t xml:space="preserve">5. на выход — токен (только выжившие срезы)</w:t>
      </w:r>
    </w:p>
    <w:p>
      <w:pPr>
        <w:pStyle w:val="FirstParagraph"/>
      </w:pPr>
      <w:r>
        <w:t xml:space="preserve">Размерность 16×16 выбрана так, что срез целиком помещается в память рабочей группы и вычисляется матрично на тензорных блоках. Совмещение формирования, токенизации и классификации в LDS устраняет обмены с внешней памятью — это и есть опора приоритета «скорость обработки» (признаки п.9 «способ» и п.13 «устройство» формулы). Между кернелами лежит только комплексный буфер в VRAM.</w:t>
      </w:r>
    </w:p>
    <w:p>
      <w:pPr>
        <w:pStyle w:val="Heading2"/>
      </w:pPr>
      <w:bookmarkStart w:id="26" w:name="доплер-на-будущее"/>
      <w:r>
        <w:t xml:space="preserve">3.5. Доплер (на будущее)</w:t>
      </w:r>
      <w:bookmarkEnd w:id="26"/>
    </w:p>
    <w:p>
      <w:pPr>
        <w:pStyle w:val="FirstParagraph"/>
      </w:pPr>
      <w:r>
        <w:t xml:space="preserve">В одном импульсе цель — один пик, дальность и доплер в нём смешаны и не отделяются. Доплер живёт по медленному времени, между импульсами: пачка из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импульсов с периодом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даёт четвёртую ось, и FFT по ней извлекает доплер:</w:t>
      </w:r>
    </w:p>
    <w:p>
      <w:pPr>
        <w:pStyle w:val="SourceCode"/>
      </w:pPr>
      <w:r>
        <w:rPr>
          <w:rStyle w:val="VerbatimChar"/>
        </w:rPr>
        <w:t xml:space="preserve">16 × 16 × N × P      →   FFT по 4-й оси</w:t>
      </w:r>
      <w:r>
        <w:br/>
      </w:r>
      <w:r>
        <w:rPr>
          <w:rStyle w:val="VerbatimChar"/>
        </w:rPr>
        <w:t xml:space="preserve">Δf_d = PRF/P ,   Δv = λ·PRF/(2P) ,   однозначная v = λ·PRF/2</w:t>
      </w:r>
    </w:p>
    <w:p>
      <w:pPr>
        <w:pStyle w:val="FirstParagraph"/>
      </w:pPr>
      <w:r>
        <w:t xml:space="preserve">Движущаяся цель за пачку уходит по дальности (range walk) — компенсируется keystone-преобразованием. ЛЧМ-картина Range-Doppler подсказывает доплеровский банк FM-m коррелятора. Полный порядок осей:</w:t>
      </w:r>
      <w:r>
        <w:t xml:space="preserve"> </w:t>
      </w:r>
      <w:r>
        <w:rPr>
          <w:b/>
        </w:rPr>
        <w:t xml:space="preserve">угол → угол → дальность → доплер</w:t>
      </w:r>
      <w:r>
        <w:t xml:space="preserve">; первые три — эта глава, четвёртая — пачкой.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