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6.png" ContentType="image/png"/>
  <Override PartName="/word/media/rId35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2a8c1caefb9d50ba4c451432575037adce64c"/>
      <w:r>
        <w:t xml:space="preserve">Глава 4. Грубое обнаружение на угловой карте: признаки, триаж, токен</w:t>
      </w:r>
      <w:bookmarkEnd w:id="20"/>
    </w:p>
    <w:p>
      <w:pPr>
        <w:pStyle w:val="Heading2"/>
      </w:pPr>
      <w:bookmarkStart w:id="21" w:name="место-главы-в-конвейере"/>
      <w:r>
        <w:t xml:space="preserve">4.0. Место главы в конвейере</w:t>
      </w:r>
      <w:bookmarkEnd w:id="21"/>
    </w:p>
    <w:p>
      <w:pPr>
        <w:pStyle w:val="FirstParagraph"/>
      </w:pPr>
      <w:r>
        <w:t xml:space="preserve">После главы 3 дальностный БПФ (кернел A) перевёл дечирпованный сигнал в дальность: на входе настоящей главы — комплексный тензор</w:t>
      </w:r>
      <w:r>
        <w:t xml:space="preserve"> </w:t>
      </w:r>
      <w:r>
        <w:rPr>
          <w:b/>
        </w:rPr>
        <w:t xml:space="preserve">16×16×N</w:t>
      </w:r>
      <w:r>
        <w:t xml:space="preserve">, где третья ось уже означает бины дальности, а N переменна за такт. Для каждого бина дальности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срез</w:t>
      </w:r>
      <w:r>
        <w:t xml:space="preserve"> </w:t>
      </w:r>
      <w:r>
        <w:rPr>
          <w:rStyle w:val="VerbatimChar"/>
        </w:rPr>
        <w:t xml:space="preserve">S[:, :, r]</w:t>
      </w:r>
      <w:r>
        <w:t xml:space="preserve"> </w:t>
      </w:r>
      <w:r>
        <w:t xml:space="preserve">— комплексная</w:t>
      </w:r>
      <w:r>
        <w:t xml:space="preserve"> </w:t>
      </w:r>
      <w:r>
        <w:rPr>
          <w:b/>
        </w:rPr>
        <w:t xml:space="preserve">апертурная матрица 16×16</w:t>
      </w:r>
      <w:r>
        <w:t xml:space="preserve"> </w:t>
      </w:r>
      <w:r>
        <w:t xml:space="preserve">(сигнал на элементах решётки для этой дальности).</w:t>
      </w:r>
    </w:p>
    <w:p>
      <w:pPr>
        <w:pStyle w:val="BodyText"/>
      </w:pPr>
      <w:r>
        <w:t xml:space="preserve">Задача главы — по каждому срезу быстро решить, есть ли в нём собранный по углу источник и какого он типа, и упаковать результат в компактный</w:t>
      </w:r>
      <w:r>
        <w:t xml:space="preserve"> </w:t>
      </w:r>
      <w:r>
        <w:rPr>
          <w:b/>
        </w:rPr>
        <w:t xml:space="preserve">токен</w:t>
      </w:r>
      <w:r>
        <w:t xml:space="preserve">. Всё выполняет один вычислительный блок —</w:t>
      </w:r>
      <w:r>
        <w:t xml:space="preserve"> </w:t>
      </w:r>
      <w:r>
        <w:rPr>
          <w:b/>
        </w:rPr>
        <w:t xml:space="preserve">кернел B</w:t>
      </w:r>
      <w:r>
        <w:t xml:space="preserve">.</w:t>
      </w:r>
    </w:p>
    <w:p>
      <w:pPr>
        <w:pStyle w:val="BlockText"/>
      </w:pPr>
      <w:r>
        <w:t xml:space="preserve">Настоящая глава описывает плоский случай (одна угловая карта на срез дальности). Он обобщается на объём: токен можно формировать на кубе</w:t>
      </w:r>
      <w:r>
        <w:t xml:space="preserve"> </w:t>
      </w:r>
      <w:r>
        <w:rPr>
          <w:rStyle w:val="VerbatimChar"/>
        </w:rPr>
        <w:t xml:space="preserve">16×16×L</w:t>
      </w:r>
      <w:r>
        <w:t xml:space="preserve"> </w:t>
      </w:r>
      <w:r>
        <w:t xml:space="preserve">одним объёмным ядром, а плоскость — частный случай при</w:t>
      </w:r>
      <w:r>
        <w:t xml:space="preserve"> </w:t>
      </w:r>
      <w:r>
        <w:rPr>
          <w:rStyle w:val="VerbatimChar"/>
        </w:rPr>
        <w:t xml:space="preserve">L = 1</w:t>
      </w:r>
      <w:r>
        <w:t xml:space="preserve">. См. главу 4-бис «Унифицированный объёмный примитив».</w:t>
      </w:r>
    </w:p>
    <w:p>
      <w:pPr>
        <w:pStyle w:val="Heading2"/>
      </w:pPr>
      <w:bookmarkStart w:id="22" w:name="обозначения"/>
      <w:r>
        <w:t xml:space="preserve">4.1. Обозначения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Смысл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Размер / диапазон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глубина дальности (бинов)</w:t>
            </w:r>
          </w:p>
        </w:tc>
        <w:tc>
          <w:p>
            <w:pPr>
              <w:pStyle w:val="Compact"/>
              <w:jc w:val="left"/>
            </w:pPr>
            <w:r>
              <w:t xml:space="preserve">переменна за такт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индекс бина дальности</w:t>
            </w:r>
          </w:p>
        </w:tc>
        <w:tc>
          <w:p>
            <w:pPr>
              <w:pStyle w:val="Compact"/>
              <w:jc w:val="left"/>
            </w:pPr>
            <w:r>
              <w:t xml:space="preserve">0 … N−1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S[k_x,k_y,r]</w:t>
            </w:r>
          </w:p>
        </w:tc>
        <w:tc>
          <w:p>
            <w:pPr>
              <w:pStyle w:val="Compact"/>
              <w:jc w:val="left"/>
            </w:pPr>
            <w:r>
              <w:t xml:space="preserve">комплексный сигнал на элементах решётки</w:t>
            </w:r>
          </w:p>
        </w:tc>
        <w:tc>
          <w:p>
            <w:pPr>
              <w:pStyle w:val="Compact"/>
              <w:jc w:val="left"/>
            </w:pPr>
            <w:r>
              <w:t xml:space="preserve">16×16, 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A[k_x,k_y]</w:t>
            </w:r>
          </w:p>
        </w:tc>
        <w:tc>
          <w:p>
            <w:pPr>
              <w:pStyle w:val="Compact"/>
              <w:jc w:val="left"/>
            </w:pPr>
            <w:r>
              <w:t xml:space="preserve">комплексная</w:t>
            </w:r>
            <w:r>
              <w:t xml:space="preserve"> </w:t>
            </w:r>
            <w:r>
              <w:rPr>
                <w:b/>
              </w:rPr>
              <w:t xml:space="preserve">угловая карта</w:t>
            </w:r>
            <w:r>
              <w:t xml:space="preserve"> </w:t>
            </w:r>
            <w:r>
              <w:t xml:space="preserve">после углового БПФ</w:t>
            </w:r>
          </w:p>
        </w:tc>
        <w:tc>
          <w:p>
            <w:pPr>
              <w:pStyle w:val="Compact"/>
              <w:jc w:val="left"/>
            </w:pPr>
            <w:r>
              <w:t xml:space="preserve">16×16, 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 = |A|²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энергетическая</w:t>
            </w:r>
            <w:r>
              <w:t xml:space="preserve"> </w:t>
            </w:r>
            <w:r>
              <w:t xml:space="preserve">угловая карта</w:t>
            </w:r>
          </w:p>
        </w:tc>
        <w:tc>
          <w:p>
            <w:pPr>
              <w:pStyle w:val="Compact"/>
              <w:jc w:val="left"/>
            </w:pPr>
            <w:r>
              <w:t xml:space="preserve">16×16, ℝ≥0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 = 256</w:t>
            </w:r>
          </w:p>
        </w:tc>
        <w:tc>
          <w:p>
            <w:pPr>
              <w:pStyle w:val="Compact"/>
              <w:jc w:val="left"/>
            </w:pPr>
            <w:r>
              <w:t xml:space="preserve">число угловых ячеек (16×16)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</w:t>
            </w:r>
          </w:p>
        </w:tc>
        <w:tc>
          <w:p>
            <w:pPr>
              <w:pStyle w:val="Compact"/>
              <w:jc w:val="left"/>
            </w:pPr>
            <w:r>
              <w:t xml:space="preserve">значения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 развёрнутые в вектор</w:t>
            </w:r>
          </w:p>
        </w:tc>
        <w:tc>
          <w:p>
            <w:pPr>
              <w:pStyle w:val="Compact"/>
              <w:jc w:val="left"/>
            </w:pPr>
            <w:r>
              <w:t xml:space="preserve">i = 0 … 255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(k_x,k_y)</w:t>
            </w:r>
          </w:p>
        </w:tc>
        <w:tc>
          <w:p>
            <w:pPr>
              <w:pStyle w:val="Compact"/>
              <w:jc w:val="left"/>
            </w:pPr>
            <w:r>
              <w:t xml:space="preserve">номер углового бина;</w:t>
            </w:r>
            <w:r>
              <w:t xml:space="preserve"> </w:t>
            </w:r>
            <w:r>
              <w:rPr>
                <w:rStyle w:val="VerbatimChar"/>
              </w:rPr>
              <w:t xml:space="preserve">sinθ = k/8</w:t>
            </w:r>
            <w:r>
              <w:t xml:space="preserve"> </w:t>
            </w:r>
            <w:r>
              <w:t xml:space="preserve">при d=λ/2</w:t>
            </w:r>
          </w:p>
        </w:tc>
        <w:tc>
          <w:p>
            <w:pPr>
              <w:pStyle w:val="Compact"/>
              <w:jc w:val="left"/>
            </w:pPr>
            <w:r>
              <w:t xml:space="preserve">−8 … 7 (после fftshift)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 = Σp_i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S2 = Σp_i²</w:t>
            </w:r>
          </w:p>
        </w:tc>
        <w:tc>
          <w:p>
            <w:pPr>
              <w:pStyle w:val="Compact"/>
              <w:jc w:val="left"/>
            </w:pPr>
            <w:r>
              <w:t xml:space="preserve">суммы для признаков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Угловая ячейка</w:t>
      </w:r>
      <w:r>
        <w:t xml:space="preserve"> </w:t>
      </w:r>
      <w:r>
        <w:rPr>
          <w:rStyle w:val="VerbatimChar"/>
        </w:rPr>
        <w:t xml:space="preserve">(k_x,k_y)</w:t>
      </w:r>
      <w:r>
        <w:t xml:space="preserve"> </w:t>
      </w:r>
      <w:r>
        <w:t xml:space="preserve">соответствует направлению прихода, её значение — энергия с этого направления на данной дальности.</w:t>
      </w:r>
    </w:p>
    <w:p>
      <w:pPr>
        <w:pStyle w:val="Heading2"/>
      </w:pPr>
      <w:bookmarkStart w:id="23" w:name="что-делает-кернел-b-обзор"/>
      <w:r>
        <w:t xml:space="preserve">4.2. Что делает кернел B (обзор)</w:t>
      </w:r>
      <w:bookmarkEnd w:id="23"/>
    </w:p>
    <w:p>
      <w:pPr>
        <w:pStyle w:val="FirstParagraph"/>
      </w:pPr>
      <w:r>
        <w:t xml:space="preserve">Базовая единица — одна апертурная матрица</w:t>
      </w:r>
      <w:r>
        <w:t xml:space="preserve"> </w:t>
      </w:r>
      <w:r>
        <w:rPr>
          <w:rStyle w:val="VerbatimChar"/>
        </w:rPr>
        <w:t xml:space="preserve">S[:,:,r]</w:t>
      </w:r>
      <w:r>
        <w:t xml:space="preserve">; на выходе — один токен:</w:t>
      </w:r>
    </w:p>
    <w:p>
      <w:pPr>
        <w:pStyle w:val="SourceCode"/>
      </w:pPr>
      <w:r>
        <w:rPr>
          <w:rStyle w:val="VerbatimChar"/>
        </w:rPr>
        <w:t xml:space="preserve">вход:  S[:, :, r]                       — апертурная матрица 16×16 (комплекс)</w:t>
      </w:r>
      <w:r>
        <w:br/>
      </w:r>
      <w:r>
        <w:rPr>
          <w:rStyle w:val="VerbatimChar"/>
        </w:rPr>
        <w:t xml:space="preserve">  1. A = угловой БПФ 2D (S · окно)      — формирование луча, остаётся комплексом</w:t>
      </w:r>
      <w:r>
        <w:br/>
      </w:r>
      <w:r>
        <w:rPr>
          <w:rStyle w:val="VerbatimChar"/>
        </w:rPr>
        <w:t xml:space="preserve">  2. P = |A|²  (fftshift)               — энергетическая карта (переход в float)</w:t>
      </w:r>
      <w:r>
        <w:br/>
      </w:r>
      <w:r>
        <w:rPr>
          <w:rStyle w:val="VerbatimChar"/>
        </w:rPr>
        <w:t xml:space="preserve">  3. f = features(P)                    — вектор инженерных признаков</w:t>
      </w:r>
      <w:r>
        <w:br/>
      </w:r>
      <w:r>
        <w:rPr>
          <w:rStyle w:val="VerbatimChar"/>
        </w:rPr>
        <w:t xml:space="preserve">  4. пики = поиск до 5 пиков по углу    — координаты и яркости источников</w:t>
      </w:r>
      <w:r>
        <w:br/>
      </w:r>
      <w:r>
        <w:rPr>
          <w:rStyle w:val="VerbatimChar"/>
        </w:rPr>
        <w:t xml:space="preserve">  5. (метка, скор) = MLP(f)             — классификация типа среза</w:t>
      </w:r>
      <w:r>
        <w:br/>
      </w:r>
      <w:r>
        <w:rPr>
          <w:rStyle w:val="VerbatimChar"/>
        </w:rPr>
        <w:t xml:space="preserve">выход: токен(r) = { пики[], признаки, метка, скор }</w:t>
      </w:r>
    </w:p>
    <w:p>
      <w:pPr>
        <w:pStyle w:val="FirstParagraph"/>
      </w:pPr>
      <w:r>
        <w:t xml:space="preserve">Порядок принципиален:</w:t>
      </w:r>
      <w:r>
        <w:t xml:space="preserve"> </w:t>
      </w:r>
      <w:r>
        <w:rPr>
          <w:b/>
        </w:rPr>
        <w:t xml:space="preserve">магнитуда берётся только после углового БПФ</w:t>
      </w:r>
      <w:r>
        <w:t xml:space="preserve">. Угловой БПФ — когерентное суммирование по апертуре, ему нужна фаза между 256 элементами; взять модуль раньше — потерять направление.</w:t>
      </w:r>
    </w:p>
    <w:p>
      <w:pPr>
        <w:pStyle w:val="Heading2"/>
      </w:pPr>
      <w:bookmarkStart w:id="24" w:name="шаг-1-угловой-бпф-формирование-луча"/>
      <w:r>
        <w:t xml:space="preserve">4.3. Шаг 1 — угловой БПФ (формирование луча)</w:t>
      </w:r>
      <w:bookmarkEnd w:id="24"/>
    </w:p>
    <w:p>
      <w:pPr>
        <w:pStyle w:val="FirstParagraph"/>
      </w:pPr>
      <w:r>
        <w:t xml:space="preserve">Двумерный БПФ по апертуре, с оконной функцией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(Хэмминга) по обеим осям для подавления боковых лепестков:</w:t>
      </w:r>
    </w:p>
    <w:p>
      <w:pPr>
        <w:pStyle w:val="SourceCode"/>
      </w:pPr>
      <w:r>
        <w:rPr>
          <w:rStyle w:val="VerbatimChar"/>
        </w:rPr>
        <w:t xml:space="preserve">A[k_x,k_y] = FFT2( S[:,:,r] · w(x)·w(y) )</w:t>
      </w:r>
    </w:p>
    <w:p>
      <w:pPr>
        <w:pStyle w:val="FirstParagraph"/>
      </w:pPr>
      <w:r>
        <w:t xml:space="preserve">Точечный источник даёт узкий главный лепесток в одной ячейке; шум — равномерную рябь. Реализуется матричным умножением на тензорных блоках (WMMA).</w:t>
      </w:r>
    </w:p>
    <w:p>
      <w:pPr>
        <w:pStyle w:val="Heading2"/>
      </w:pPr>
      <w:bookmarkStart w:id="25" w:name="шаг-2-энергетическая-карта"/>
      <w:r>
        <w:t xml:space="preserve">4.4. Шаг 2 — энергетическая карта</w:t>
      </w:r>
      <w:bookmarkEnd w:id="25"/>
    </w:p>
    <w:p>
      <w:pPr>
        <w:pStyle w:val="SourceCode"/>
      </w:pPr>
      <w:r>
        <w:rPr>
          <w:rStyle w:val="VerbatimChar"/>
        </w:rPr>
        <w:t xml:space="preserve">P[k_x,k_y] = |A[k_x,k_y]|²   (с fftshift: нулевая частота в центре, k = −8…7)</w:t>
      </w:r>
    </w:p>
    <w:p>
      <w:pPr>
        <w:pStyle w:val="FirstParagraph"/>
      </w:pPr>
      <w:r>
        <w:t xml:space="preserve">С этого шага работаем с вещественной картой</w:t>
      </w:r>
      <w:r>
        <w:t xml:space="preserve"> </w:t>
      </w:r>
      <w:r>
        <w:rPr>
          <w:rStyle w:val="VerbatimChar"/>
        </w:rPr>
        <w:t xml:space="preserve">P</w:t>
      </w:r>
      <w:r>
        <w:t xml:space="preserve">; все признаки считаются по ней.</w:t>
      </w:r>
    </w:p>
    <w:p>
      <w:pPr>
        <w:pStyle w:val="Heading2"/>
      </w:pPr>
      <w:bookmarkStart w:id="26" w:name="шаг-3-линейка-признаков"/>
      <w:r>
        <w:t xml:space="preserve">4.5. Шаг 3 — линейка признаков</w:t>
      </w:r>
      <w:bookmarkEnd w:id="26"/>
    </w:p>
    <w:p>
      <w:pPr>
        <w:pStyle w:val="FirstParagraph"/>
      </w:pPr>
      <w:r>
        <w:t xml:space="preserve">Классифицировать срез по всем 256 значениям дорого; вместо этого сжимаем карту в короткий</w:t>
      </w:r>
      <w:r>
        <w:t xml:space="preserve"> </w:t>
      </w:r>
      <w:r>
        <w:rPr>
          <w:b/>
        </w:rPr>
        <w:t xml:space="preserve">вектор инженерных признаков</w:t>
      </w:r>
      <w:r>
        <w:t xml:space="preserve">, каждый — дешёвая редукция.</w:t>
      </w:r>
    </w:p>
    <w:p>
      <w:pPr>
        <w:pStyle w:val="BodyText"/>
      </w:pPr>
      <w:r>
        <w:rPr>
          <w:b/>
        </w:rPr>
        <w:t xml:space="preserve">Признаки собранности (устойчивые якоря).</w:t>
      </w:r>
    </w:p>
    <w:p>
      <w:pPr>
        <w:pStyle w:val="BodyText"/>
      </w:pPr>
      <w:r>
        <w:t xml:space="preserve">Participation Ratio — эффективное число «горящих» ячеек:</w:t>
      </w:r>
    </w:p>
    <w:p>
      <w:pPr>
        <w:pStyle w:val="SourceCode"/>
      </w:pPr>
      <w:r>
        <w:rPr>
          <w:rStyle w:val="VerbatimChar"/>
        </w:rPr>
        <w:t xml:space="preserve">PR = (Σp_i)² / Σp_i² = S1² / S2</w:t>
      </w:r>
    </w:p>
    <w:p>
      <w:pPr>
        <w:pStyle w:val="FirstParagraph"/>
      </w:pPr>
      <w:r>
        <w:t xml:space="preserve">Точечный источник →</w:t>
      </w:r>
      <w:r>
        <w:t xml:space="preserve"> </w:t>
      </w:r>
      <w:r>
        <w:rPr>
          <w:rStyle w:val="VerbatimChar"/>
        </w:rPr>
        <w:t xml:space="preserve">PR ≈ 1–3</w:t>
      </w:r>
      <w:r>
        <w:t xml:space="preserve">; заградка → десятки; шум →</w:t>
      </w:r>
      <w:r>
        <w:t xml:space="preserve"> </w:t>
      </w:r>
      <w:r>
        <w:rPr>
          <w:rStyle w:val="VerbatimChar"/>
        </w:rPr>
        <w:t xml:space="preserve">≈ M/2 = 128</w:t>
      </w:r>
      <w:r>
        <w:t xml:space="preserve">. Главный якорь «источник против шума».</w:t>
      </w:r>
    </w:p>
    <w:p>
      <w:pPr>
        <w:pStyle w:val="BodyText"/>
      </w:pPr>
      <w:r>
        <w:t xml:space="preserve">Индекс Хойера — нормированная разреженность в [0,1]:</w:t>
      </w:r>
    </w:p>
    <w:p>
      <w:pPr>
        <w:pStyle w:val="SourceCode"/>
      </w:pPr>
      <w:r>
        <w:rPr>
          <w:rStyle w:val="VerbatimChar"/>
        </w:rPr>
        <w:t xml:space="preserve">Hoyer = (√M − S1/√S2) / (√M − 1)</w:t>
      </w:r>
    </w:p>
    <w:p>
      <w:pPr>
        <w:pStyle w:val="FirstParagraph"/>
      </w:pPr>
      <w:r>
        <w:rPr>
          <w:rStyle w:val="VerbatimChar"/>
        </w:rPr>
        <w:t xml:space="preserve">→ 1</w:t>
      </w:r>
      <w:r>
        <w:t xml:space="preserve"> </w:t>
      </w:r>
      <w:r>
        <w:t xml:space="preserve">собрано,</w:t>
      </w:r>
      <w:r>
        <w:t xml:space="preserve"> </w:t>
      </w:r>
      <w:r>
        <w:rPr>
          <w:rStyle w:val="VerbatimChar"/>
        </w:rPr>
        <w:t xml:space="preserve">→ 0</w:t>
      </w:r>
      <w:r>
        <w:t xml:space="preserve"> </w:t>
      </w:r>
      <w:r>
        <w:t xml:space="preserve">размазано.</w:t>
      </w:r>
    </w:p>
    <w:p>
      <w:pPr>
        <w:pStyle w:val="BodyText"/>
      </w:pPr>
      <w:r>
        <w:rPr>
          <w:b/>
        </w:rPr>
        <w:t xml:space="preserve">Признаки формы главного лепестка (страддл-устойчивые).</w:t>
      </w:r>
      <w:r>
        <w:t xml:space="preserve"> </w:t>
      </w:r>
      <w:r>
        <w:t xml:space="preserve">При попадании источника между бинами (страддл) энергия делится между соседними ячейками; поэтому меряем не ячейку, а лепесток целиком. Пусть</w:t>
      </w:r>
      <w:r>
        <w:t xml:space="preserve"> </w:t>
      </w:r>
      <w:r>
        <w:rPr>
          <w:rStyle w:val="VerbatimChar"/>
        </w:rPr>
        <w:t xml:space="preserve">(i*,j*) = argmax P</w:t>
      </w:r>
      <w:r>
        <w:t xml:space="preserve">, блок 3×3 вокруг него:</w:t>
      </w:r>
    </w:p>
    <w:p>
      <w:pPr>
        <w:pStyle w:val="SourceCode"/>
      </w:pPr>
      <w:r>
        <w:rPr>
          <w:rStyle w:val="VerbatimChar"/>
        </w:rPr>
        <w:t xml:space="preserve">MainFrac = Σ_{3×3} P / S1</w:t>
      </w:r>
    </w:p>
    <w:p>
      <w:pPr>
        <w:pStyle w:val="FirstParagraph"/>
      </w:pPr>
      <w:r>
        <w:t xml:space="preserve">Доля энергии в главном лепестке. Цель (даже при страддле) → 0.94–0.98; заградка → ~0.40; шум → ~0.07.</w:t>
      </w:r>
    </w:p>
    <w:p>
      <w:pPr>
        <w:pStyle w:val="BodyText"/>
      </w:pPr>
      <w:r>
        <w:t xml:space="preserve">Интегральное отношение лепестков (устойчивая замена «2-й/1-й пик»): обнуляем охранную зону 5×5 вокруг главного пика, ищем второй лепесток:</w:t>
      </w:r>
    </w:p>
    <w:p>
      <w:pPr>
        <w:pStyle w:val="SourceCode"/>
      </w:pPr>
      <w:r>
        <w:rPr>
          <w:rStyle w:val="VerbatimChar"/>
        </w:rPr>
        <w:t xml:space="preserve">LobeRatio = Σ_{3×3 вне охранной зоны} P / Σ_{3×3 главный}</w:t>
      </w:r>
    </w:p>
    <w:p>
      <w:pPr>
        <w:pStyle w:val="FirstParagraph"/>
      </w:pPr>
      <w:r>
        <w:t xml:space="preserve">Одиночная цель → ~0.002; заградка → ~0.25; шум → ~1.0.</w:t>
      </w:r>
    </w:p>
    <w:p>
      <w:pPr>
        <w:pStyle w:val="BodyText"/>
      </w:pPr>
      <w:r>
        <w:rPr>
          <w:b/>
        </w:rPr>
        <w:t xml:space="preserve">Вспомогательные признаки:</w:t>
      </w:r>
    </w:p>
    <w:p>
      <w:pPr>
        <w:pStyle w:val="SourceCode"/>
      </w:pPr>
      <w:r>
        <w:rPr>
          <w:rStyle w:val="VerbatimChar"/>
        </w:rPr>
        <w:t xml:space="preserve">MaxMean = max(P)/mean(P)   — контраст пика (яркость)</w:t>
      </w:r>
      <w:r>
        <w:br/>
      </w:r>
      <w:r>
        <w:rPr>
          <w:rStyle w:val="VerbatimChar"/>
        </w:rPr>
        <w:t xml:space="preserve">PeakPos = argmax P         — направление главного источника</w:t>
      </w:r>
      <w:r>
        <w:br/>
      </w:r>
      <w:r>
        <w:rPr>
          <w:rStyle w:val="VerbatimChar"/>
        </w:rPr>
        <w:t xml:space="preserve">Energy  = S1               — абсолютный уровень</w:t>
      </w:r>
    </w:p>
    <w:p>
      <w:pPr>
        <w:pStyle w:val="FirstParagraph"/>
      </w:pPr>
      <w:r>
        <w:t xml:space="preserve">Итоговый вектор:</w:t>
      </w:r>
      <w:r>
        <w:t xml:space="preserve"> </w:t>
      </w:r>
      <w:r>
        <w:rPr>
          <w:rStyle w:val="VerbatimChar"/>
        </w:rPr>
        <w:t xml:space="preserve">f = [PR, Hoyer, MainFrac, LobeRatio, MaxMean, Energy]</w:t>
      </w:r>
      <w:r>
        <w:t xml:space="preserve"> </w:t>
      </w:r>
      <w:r>
        <w:t xml:space="preserve">(+ PeakPos отдельно). Все компоненты — 1–2 прохода по 256 значениям, т.е. редукции в быстрой памяти. Набор не финальный: по результатам обучения корректируется.</w:t>
      </w:r>
    </w:p>
    <w:p>
      <w:pPr>
        <w:pStyle w:val="CaptionedFigure"/>
      </w:pPr>
      <w:r>
        <w:drawing>
          <wp:inline>
            <wp:extent cx="5334000" cy="2845280"/>
            <wp:effectExtent b="0" l="0" r="0" t="0"/>
            <wp:docPr descr="Признаки трёх классов на модельной угловой карте" title="" id="1" name="Picture"/>
            <a:graphic>
              <a:graphicData uri="http://schemas.openxmlformats.org/drawingml/2006/picture">
                <pic:pic>
                  <pic:nvPicPr>
                    <pic:cNvPr descr="feat_sce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Признаки трёх классов на модельной угловой карте</w:t>
      </w:r>
    </w:p>
    <w:p>
      <w:pPr>
        <w:pStyle w:val="Heading2"/>
      </w:pPr>
      <w:bookmarkStart w:id="28" w:name="шаг-4-поиск-пиков-по-углу"/>
      <w:r>
        <w:t xml:space="preserve">4.6. Шаг 4 — поиск пиков по углу</w:t>
      </w:r>
      <w:bookmarkEnd w:id="28"/>
    </w:p>
    <w:p>
      <w:pPr>
        <w:pStyle w:val="FirstParagraph"/>
      </w:pPr>
      <w:r>
        <w:t xml:space="preserve">На одной дальности возможно несколько источников под</w:t>
      </w:r>
      <w:r>
        <w:t xml:space="preserve"> </w:t>
      </w:r>
      <w:r>
        <w:rPr>
          <w:b/>
        </w:rPr>
        <w:t xml:space="preserve">разными углами</w:t>
      </w:r>
      <w:r>
        <w:t xml:space="preserve">, поэтому в токен пишем массив пиков фиксированной длины (до 5):</w:t>
      </w:r>
    </w:p>
    <w:p>
      <w:pPr>
        <w:pStyle w:val="SourceCode"/>
      </w:pPr>
      <w:r>
        <w:rPr>
          <w:rStyle w:val="VerbatimChar"/>
        </w:rPr>
        <w:t xml:space="preserve">пики[5] = { (k_x, k_y, яркость, кромка) }</w:t>
      </w:r>
      <w:r>
        <w:br/>
      </w:r>
      <w:r>
        <w:rPr>
          <w:rStyle w:val="VerbatimChar"/>
        </w:rPr>
        <w:t xml:space="preserve">n_пиков  = сколько из 5 валидны (0…5)</w:t>
      </w:r>
    </w:p>
    <w:p>
      <w:pPr>
        <w:pStyle w:val="FirstParagraph"/>
      </w:pPr>
      <w:r>
        <w:rPr>
          <w:rStyle w:val="VerbatimChar"/>
        </w:rPr>
        <w:t xml:space="preserve">кромка</w:t>
      </w:r>
      <w:r>
        <w:t xml:space="preserve"> </w:t>
      </w:r>
      <w:r>
        <w:t xml:space="preserve">— нарастание/спад пика по соседним бинам дальности; почти бесплатна (соседние бины под рукой) и служит физическим признаком (резкая кромка реального отражателя против размытой копии). Если пиков больше 5 — это само по себе признак «размазано», лишние не пишутся.</w:t>
      </w:r>
    </w:p>
    <w:p>
      <w:pPr>
        <w:pStyle w:val="BodyText"/>
      </w:pPr>
      <w:r>
        <w:t xml:space="preserve">Массив ловит множественность</w:t>
      </w:r>
      <w:r>
        <w:t xml:space="preserve"> </w:t>
      </w:r>
      <w:r>
        <w:rPr>
          <w:b/>
        </w:rPr>
        <w:t xml:space="preserve">по углу</w:t>
      </w:r>
      <w:r>
        <w:t xml:space="preserve">. Множественность</w:t>
      </w:r>
      <w:r>
        <w:t xml:space="preserve"> </w:t>
      </w:r>
      <w:r>
        <w:rPr>
          <w:b/>
        </w:rPr>
        <w:t xml:space="preserve">по дальности</w:t>
      </w:r>
      <w:r>
        <w:t xml:space="preserve"> </w:t>
      </w:r>
      <w:r>
        <w:t xml:space="preserve">(гребёнка) собирает проход 2 (§4.9). Две оси структуры независимы: угол — массивом, дальность — сборкой.</w:t>
      </w:r>
    </w:p>
    <w:p>
      <w:pPr>
        <w:pStyle w:val="CaptionedFigure"/>
      </w:pPr>
      <w:r>
        <w:drawing>
          <wp:inline>
            <wp:extent cx="5334000" cy="2612656"/>
            <wp:effectExtent b="0" l="0" r="0" t="0"/>
            <wp:docPr descr="Структурный токен: массив пиков + признаки + метка" title="" id="1" name="Picture"/>
            <a:graphic>
              <a:graphicData uri="http://schemas.openxmlformats.org/drawingml/2006/picture">
                <pic:pic>
                  <pic:nvPicPr>
                    <pic:cNvPr descr="tokeniz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Структурный токен: массив пиков + признаки + метка</w:t>
      </w:r>
    </w:p>
    <w:p>
      <w:pPr>
        <w:pStyle w:val="Heading2"/>
      </w:pPr>
      <w:bookmarkStart w:id="30" w:name="структурный-токен"/>
      <w:r>
        <w:t xml:space="preserve">4.7. Структурный токен</w:t>
      </w:r>
      <w:bookmarkEnd w:id="30"/>
    </w:p>
    <w:p>
      <w:pPr>
        <w:pStyle w:val="SourceCode"/>
      </w:pPr>
      <w:r>
        <w:rPr>
          <w:rStyle w:val="VerbatimChar"/>
        </w:rPr>
        <w:t xml:space="preserve">токен = {</w:t>
      </w:r>
      <w:r>
        <w:br/>
      </w:r>
      <w:r>
        <w:rPr>
          <w:rStyle w:val="VerbatimChar"/>
        </w:rPr>
        <w:t xml:space="preserve">    r,                         // индекс бина дальности</w:t>
      </w:r>
      <w:r>
        <w:br/>
      </w:r>
      <w:r>
        <w:rPr>
          <w:rStyle w:val="VerbatimChar"/>
        </w:rPr>
        <w:t xml:space="preserve">    n_пиков,                   // 0..5</w:t>
      </w:r>
      <w:r>
        <w:br/>
      </w:r>
      <w:r>
        <w:rPr>
          <w:rStyle w:val="VerbatimChar"/>
        </w:rPr>
        <w:t xml:space="preserve">    пики[5] = { k_x, k_y, amp, кромка },</w:t>
      </w:r>
      <w:r>
        <w:br/>
      </w:r>
      <w:r>
        <w:rPr>
          <w:rStyle w:val="VerbatimChar"/>
        </w:rPr>
        <w:t xml:space="preserve">    PR, Hoyer, MainFrac, LobeRatio,   // признаки среза</w:t>
      </w:r>
      <w:r>
        <w:br/>
      </w:r>
      <w:r>
        <w:rPr>
          <w:rStyle w:val="VerbatimChar"/>
        </w:rPr>
        <w:t xml:space="preserve">    метка,                     // шум / источник / заградка</w:t>
      </w:r>
      <w:r>
        <w:br/>
      </w:r>
      <w:r>
        <w:rPr>
          <w:rStyle w:val="VerbatimChar"/>
        </w:rPr>
        <w:t xml:space="preserve">    скор                       // уверенность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Пустые срезы («шум») не пишутся → выход разрежённый. Это и есть свёртка большого объёма в компактную матрицу токенов.</w:t>
      </w:r>
    </w:p>
    <w:p>
      <w:pPr>
        <w:pStyle w:val="Heading2"/>
      </w:pPr>
      <w:bookmarkStart w:id="31" w:name="шаг-5-триаж-гейт-не-арбитр"/>
      <w:r>
        <w:t xml:space="preserve">4.8. Шаг 5 — триаж (гейт, не арбитр)</w:t>
      </w:r>
      <w:bookmarkEnd w:id="31"/>
    </w:p>
    <w:p>
      <w:pPr>
        <w:pStyle w:val="FirstParagraph"/>
      </w:pPr>
      <w:r>
        <w:t xml:space="preserve">Вектор признаков подаётся на компактную сеть:</w:t>
      </w:r>
    </w:p>
    <w:p>
      <w:pPr>
        <w:pStyle w:val="SourceCode"/>
      </w:pPr>
      <w:r>
        <w:rPr>
          <w:rStyle w:val="VerbatimChar"/>
        </w:rPr>
        <w:t xml:space="preserve">MLP: 6 → 16 → 3</w:t>
      </w:r>
      <w:r>
        <w:br/>
      </w:r>
      <w:r>
        <w:rPr>
          <w:rStyle w:val="VerbatimChar"/>
        </w:rPr>
        <w:t xml:space="preserve">классы среза: шум / собранный источник / размазанный (заградка)</w:t>
      </w:r>
      <w:r>
        <w:br/>
      </w:r>
      <w:r>
        <w:rPr>
          <w:rStyle w:val="VerbatimChar"/>
        </w:rPr>
        <w:t xml:space="preserve">выход: метка + скор</w:t>
      </w:r>
    </w:p>
    <w:p>
      <w:pPr>
        <w:pStyle w:val="FirstParagraph"/>
      </w:pPr>
      <w:r>
        <w:t xml:space="preserve">Три класса — это то, что физически различимо по</w:t>
      </w:r>
      <w:r>
        <w:t xml:space="preserve"> </w:t>
      </w:r>
      <w:r>
        <w:rPr>
          <w:b/>
        </w:rPr>
        <w:t xml:space="preserve">одной</w:t>
      </w:r>
      <w:r>
        <w:t xml:space="preserve"> </w:t>
      </w:r>
      <w:r>
        <w:t xml:space="preserve">угловой карте. Гребёнка ретранслятора от одиночной цели по одному срезу неотличима (различие — по дальности) и выделяется проходом 2.</w:t>
      </w:r>
    </w:p>
    <w:p>
      <w:pPr>
        <w:pStyle w:val="BodyText"/>
      </w:pPr>
      <w:r>
        <w:rPr>
          <w:b/>
        </w:rPr>
        <w:t xml:space="preserve">Триаж — гейт, не арбитр.</w:t>
      </w:r>
      <w:r>
        <w:t xml:space="preserve"> </w:t>
      </w:r>
      <w:r>
        <w:t xml:space="preserve">Метку «цель» окончательно ставит физика следующего уровня (передний край + согласование с текущим кодом, глава 5), а не эта сеть: ретранслятор даёт «собранный источник», для угловой сети неотличимый от цели. Выход сети — скор для приоритета обработки. Порог записи токена</w:t>
      </w:r>
      <w:r>
        <w:t xml:space="preserve"> </w:t>
      </w:r>
      <w:r>
        <w:rPr>
          <w:b/>
        </w:rPr>
        <w:t xml:space="preserve">мягкий</w:t>
      </w:r>
      <w:r>
        <w:t xml:space="preserve">: слабый ближний пик (истинная цель под яркой ложной) не должен отсеяться — передний край терять нельзя.</w:t>
      </w:r>
    </w:p>
    <w:p>
      <w:pPr>
        <w:pStyle w:val="Heading2"/>
      </w:pPr>
      <w:bookmarkStart w:id="32" w:name="проход-2-сборка-структуры-по-дальности"/>
      <w:r>
        <w:t xml:space="preserve">4.9. Проход 2 — сборка структуры по дальности</w:t>
      </w:r>
      <w:bookmarkEnd w:id="32"/>
    </w:p>
    <w:p>
      <w:pPr>
        <w:pStyle w:val="FirstParagraph"/>
      </w:pPr>
      <w:r>
        <w:t xml:space="preserve">Второй, дешёвый проход работает уже с потоком токенов. Берём токены с меткой «источник» под одним направлением</w:t>
      </w:r>
      <w:r>
        <w:t xml:space="preserve"> </w:t>
      </w:r>
      <w:r>
        <w:rPr>
          <w:rStyle w:val="VerbatimChar"/>
        </w:rPr>
        <w:t xml:space="preserve">(k_x,k_y)</w:t>
      </w:r>
      <w:r>
        <w:t xml:space="preserve"> </w:t>
      </w:r>
      <w:r>
        <w:t xml:space="preserve">и раскладываем по дальности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Картина токенов вдоль дальности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одиночный токен</w:t>
            </w:r>
          </w:p>
        </w:tc>
        <w:tc>
          <w:p>
            <w:pPr>
              <w:pStyle w:val="Compact"/>
              <w:jc w:val="left"/>
            </w:pPr>
            <w:r>
              <w:t xml:space="preserve">одиночная цель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несколько с равным шагом</w:t>
            </w:r>
            <w:r>
              <w:t xml:space="preserve"> </w:t>
            </w:r>
            <w:r>
              <w:rPr>
                <w:rStyle w:val="VerbatimChar"/>
              </w:rPr>
              <w:t xml:space="preserve">Δr</w:t>
            </w:r>
          </w:p>
        </w:tc>
        <w:tc>
          <w:p>
            <w:pPr>
              <w:pStyle w:val="Compact"/>
              <w:jc w:val="left"/>
            </w:pPr>
            <w:r>
              <w:t xml:space="preserve">регулярная гребёнка ретранслятора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ближний токен группы (</w:t>
            </w:r>
            <w:r>
              <w:rPr>
                <w:rStyle w:val="VerbatimChar"/>
              </w:rPr>
              <w:t xml:space="preserve">min 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передний край — кандидат в истинную цель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токены во всех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подряд</w:t>
            </w:r>
          </w:p>
        </w:tc>
        <w:tc>
          <w:p>
            <w:pPr>
              <w:pStyle w:val="Compact"/>
              <w:jc w:val="left"/>
            </w:pPr>
            <w:r>
              <w:t xml:space="preserve">заградка / сплошной источник</w:t>
            </w:r>
          </w:p>
        </w:tc>
      </w:tr>
    </w:tbl>
    <w:p>
      <w:pPr>
        <w:pStyle w:val="BodyText"/>
      </w:pPr>
      <w:r>
        <w:t xml:space="preserve">Регулярность гребёнки подтверждается автокорреляцией цепочки токенов (период</w:t>
      </w:r>
      <w:r>
        <w:t xml:space="preserve"> </w:t>
      </w:r>
      <w:r>
        <w:rPr>
          <w:rStyle w:val="VerbatimChar"/>
        </w:rPr>
        <w:t xml:space="preserve">Δr</w:t>
      </w:r>
      <w:r>
        <w:t xml:space="preserve">). Ближний член группы помечается как</w:t>
      </w:r>
      <w:r>
        <w:t xml:space="preserve"> </w:t>
      </w:r>
      <w:r>
        <w:rPr>
          <w:b/>
        </w:rPr>
        <w:t xml:space="preserve">кандидат</w:t>
      </w:r>
      <w:r>
        <w:t xml:space="preserve"> </w:t>
      </w:r>
      <w:r>
        <w:t xml:space="preserve">в истинную цель; окончательную метку цель/ложь выносит физический арбитр главы 5 (правило переднего края τ≥0 и/или согласование с текущим кодом). Обработка идёт по единицам токенов, не по кубу данных → очень дёшево.</w:t>
      </w:r>
    </w:p>
    <w:p>
      <w:pPr>
        <w:pStyle w:val="BodyText"/>
      </w:pPr>
      <w:r>
        <w:t xml:space="preserve">Итог по классам разнесён по уровням: на срезе (проход 1) — шум / собранный / размазанный; на профиле (проход 2) — «собранный» распадается на одиночную цель и гребёнку.</w:t>
      </w:r>
    </w:p>
    <w:p>
      <w:pPr>
        <w:pStyle w:val="Heading2"/>
      </w:pPr>
      <w:bookmarkStart w:id="33" w:name="реализация-на-gpu"/>
      <w:r>
        <w:t xml:space="preserve">4.10. Реализация на GPU</w:t>
      </w:r>
      <w:bookmarkEnd w:id="33"/>
    </w:p>
    <w:p>
      <w:pPr>
        <w:pStyle w:val="FirstParagraph"/>
      </w:pPr>
      <w:r>
        <w:t xml:space="preserve">Логика §4.2–4.9 не зависит от раскладки срезов по вычислительным блокам. Ради занятости один workgroup берёт</w:t>
      </w:r>
      <w:r>
        <w:t xml:space="preserve"> </w:t>
      </w:r>
      <w:r>
        <w:rPr>
          <w:b/>
        </w:rPr>
        <w:t xml:space="preserve">плитку из нескольких соседних бинов дальности</w:t>
      </w:r>
      <w:r>
        <w:t xml:space="preserve">, грузит их в быструю память рабочей группы (LDS) и выполняет для каждой матрицы плитки угловой БПФ, магнитуду, признаки и триаж, не выходя в общую память; наружу пишутся только токены. Совмещение всех шагов в LDS — источник скорости (признак п.9 формулы); на смысл алгоритма плитка не влияет.</w:t>
      </w:r>
    </w:p>
    <w:p>
      <w:pPr>
        <w:pStyle w:val="BodyText"/>
      </w:pPr>
      <w:r>
        <w:rPr>
          <w:b/>
        </w:rPr>
        <w:t xml:space="preserve">Размер угловой плитки — параметр, а не константа.</w:t>
      </w:r>
      <w:r>
        <w:t xml:space="preserve"> </w:t>
      </w:r>
      <w:r>
        <w:t xml:space="preserve">Базовые 16×16 — это родная матричная инструкция (WMMA на RDNA4). Тот же конвейер масштабируется без изменения алгоритма: на CDNA/MI100 нативны матрицы 16×16 и 32×32 (MFMA), а по бюджету LDS одна плитка держится на кристалле вплоть до 64×64 (32 КБ из 64 КБ при комплексном float2); 128×128 уже уходит в VRAM. Например, реальная подапертура 32×32 даёт вдвое тоньше угол (Δsinθ = 1/16) при том же ядре, а большие решётки набираются плиточно со вторым уровнем beamspace-сложения. Размерность выбирается под задачу и карту, а не фиксируется.</w:t>
      </w:r>
    </w:p>
    <w:p>
      <w:pPr>
        <w:pStyle w:val="Heading2"/>
      </w:pPr>
      <w:bookmarkStart w:id="34" w:name="проверка-на-числах-модельная-сцена"/>
      <w:r>
        <w:t xml:space="preserve">4.11. Проверка на числах (модельная сцена)</w:t>
      </w:r>
      <w:bookmarkEnd w:id="34"/>
    </w:p>
    <w:p>
      <w:pPr>
        <w:pStyle w:val="FirstParagraph"/>
      </w:pPr>
      <w:r>
        <w:t xml:space="preserve">Признаки посчитаны на модельных угловых картах 16×16 (аподизация Хэмминга, комплексный гауссов шум). Значения иллюстративны (зависят от SNR и параметров сцены); важна</w:t>
      </w:r>
      <w:r>
        <w:t xml:space="preserve"> </w:t>
      </w:r>
      <w:r>
        <w:rPr>
          <w:b/>
        </w:rPr>
        <w:t xml:space="preserve">структура разделения</w:t>
      </w:r>
      <w:r>
        <w:t xml:space="preserve">.</w:t>
      </w:r>
    </w:p>
    <w:p>
      <w:pPr>
        <w:pStyle w:val="BodyText"/>
      </w:pPr>
      <w:r>
        <w:rPr>
          <w:b/>
        </w:rPr>
        <w:t xml:space="preserve">Три класса (источник на сетке):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MainFrac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LobeRatio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шум</w:t>
            </w:r>
          </w:p>
        </w:tc>
        <w:tc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p>
            <w:pPr>
              <w:pStyle w:val="Compact"/>
              <w:jc w:val="left"/>
            </w:pPr>
            <w:r>
              <w:t xml:space="preserve">1.03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заградка</w:t>
            </w:r>
          </w:p>
        </w:tc>
        <w:tc>
          <w:p>
            <w:pPr>
              <w:pStyle w:val="Compact"/>
              <w:jc w:val="left"/>
            </w:pPr>
            <w:r>
              <w:t xml:space="preserve">15–23</w:t>
            </w:r>
          </w:p>
        </w:tc>
        <w:tc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p>
            <w:pPr>
              <w:pStyle w:val="Compact"/>
              <w:jc w:val="left"/>
            </w:pPr>
            <w:r>
              <w:t xml:space="preserve">22–42</w:t>
            </w:r>
          </w:p>
        </w:tc>
        <w:tc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</w:tr>
    </w:tbl>
    <w:p>
      <w:pPr>
        <w:pStyle w:val="BodyText"/>
      </w:pPr>
      <w:r>
        <w:rPr>
          <w:b/>
        </w:rPr>
        <w:t xml:space="preserve">Устойчивость к страддлу (источник смещается на полбина):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 на сетке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 на полбина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Hoyer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MainFrac</w:t>
            </w:r>
          </w:p>
        </w:tc>
        <w:tc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LobeRatio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«2-й/1-й пик» (сырой)</w:t>
            </w:r>
          </w:p>
        </w:tc>
        <w:tc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p>
            <w:pPr>
              <w:pStyle w:val="Compact"/>
              <w:jc w:val="left"/>
            </w:pPr>
            <w:r>
              <w:t xml:space="preserve">ломается → не используется</w:t>
            </w:r>
          </w:p>
        </w:tc>
      </w:tr>
    </w:tbl>
    <w:p>
      <w:pPr>
        <w:pStyle w:val="BodyText"/>
      </w:pPr>
      <w:r>
        <w:t xml:space="preserve">Разделение держится на устойчивых якорях (PR, Hoyer, MainFrac, LobeRatio); сырой пиковый признак чувствителен к страддлу и оставлен только как исторический.</w:t>
      </w:r>
    </w:p>
    <w:p>
      <w:pPr>
        <w:pStyle w:val="CaptionedFigure"/>
      </w:pPr>
      <w:r>
        <w:drawing>
          <wp:inline>
            <wp:extent cx="5334000" cy="1688020"/>
            <wp:effectExtent b="0" l="0" r="0" t="0"/>
            <wp:docPr descr="Устойчивость признаков к смещению цели" title="" id="1" name="Picture"/>
            <a:graphic>
              <a:graphicData uri="http://schemas.openxmlformats.org/drawingml/2006/picture">
                <pic:pic>
                  <pic:nvPicPr>
                    <pic:cNvPr descr="stradd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Устойчивость признаков к смещению цели</w:t>
      </w:r>
    </w:p>
    <w:p>
      <w:pPr>
        <w:pStyle w:val="CaptionedFigure"/>
      </w:pPr>
      <w:r>
        <w:drawing>
          <wp:inline>
            <wp:extent cx="5334000" cy="2049244"/>
            <wp:effectExtent b="0" l="0" r="0" t="0"/>
            <wp:docPr descr="Интегральные признаки против сырого пикового отношения" title="" id="1" name="Picture"/>
            <a:graphic>
              <a:graphicData uri="http://schemas.openxmlformats.org/drawingml/2006/picture">
                <pic:pic>
                  <pic:nvPicPr>
                    <pic:cNvPr descr="intfea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Интегральные признаки против сырого пикового отношения</w:t>
      </w:r>
    </w:p>
    <w:p>
      <w:pPr>
        <w:pStyle w:val="Heading2"/>
      </w:pPr>
      <w:bookmarkStart w:id="37" w:name="открытые-вопросы"/>
      <w:r>
        <w:t xml:space="preserve">4.12. Открытые вопросы</w:t>
      </w:r>
      <w:bookmarkEnd w:id="37"/>
    </w:p>
    <w:p>
      <w:pPr>
        <w:pStyle w:val="BlockText"/>
      </w:pPr>
      <w:r>
        <w:t xml:space="preserve">Все пункты ниже закрываются экспериментально на этапе тестов.</w:t>
      </w:r>
    </w:p>
    <w:p>
      <w:pPr>
        <w:numPr>
          <w:ilvl w:val="0"/>
          <w:numId w:val="1001"/>
        </w:numPr>
        <w:pStyle w:val="Compact"/>
      </w:pPr>
      <w:r>
        <w:t xml:space="preserve">Итоговый состав вектора признаков — уточняется по результатам обучения (кандидат — энтропия карты).</w:t>
      </w:r>
    </w:p>
    <w:p>
      <w:pPr>
        <w:numPr>
          <w:ilvl w:val="0"/>
          <w:numId w:val="1001"/>
        </w:numPr>
        <w:pStyle w:val="Compact"/>
      </w:pPr>
      <w:r>
        <w:t xml:space="preserve">Пороги классов и порог записи токена — калибруются на синтетическом датасете по заданной вероятности ложной тревоги.</w:t>
      </w:r>
    </w:p>
    <w:p>
      <w:pPr>
        <w:numPr>
          <w:ilvl w:val="0"/>
          <w:numId w:val="1001"/>
        </w:numPr>
        <w:pStyle w:val="Compact"/>
      </w:pPr>
      <w:r>
        <w:t xml:space="preserve">Нерегулярная структура по дальности (рваная гребёнка, дрожащая задержка) — выносится на глубокий уровень (глава 7): патч по дальности + объёмная сеть, глубина патча (64/128/256) от типичного периода гребёнки.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35" Target="media/rId35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