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ddcaa946415acc6b7b3464e9acd6c412783bdd"/>
      <w:r>
        <w:t xml:space="preserve">Глава 4-бис. Ядро: унифицированный объёмный примитив</w:t>
      </w:r>
      <w:bookmarkEnd w:id="20"/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</w:rPr>
        <w:t xml:space="preserve">ядро всего решения</w:t>
      </w:r>
      <w:r>
        <w:t xml:space="preserve">, к которому главы 3–4 — лишь один частный интерфейс. Токен формируется</w:t>
      </w:r>
      <w:r>
        <w:t xml:space="preserve"> </w:t>
      </w:r>
      <w:r>
        <w:rPr>
          <w:b/>
        </w:rPr>
        <w:t xml:space="preserve">на объёме</w:t>
      </w:r>
      <w:r>
        <w:t xml:space="preserve"> </w:t>
      </w:r>
      <w:r>
        <w:t xml:space="preserve">(куб «угол×угол×дальность»), а способ заполнить объём — сменный</w:t>
      </w:r>
      <w:r>
        <w:t xml:space="preserve"> </w:t>
      </w:r>
      <w:r>
        <w:rPr>
          <w:b/>
        </w:rPr>
        <w:t xml:space="preserve">интерфейс (фронтенд) под тип сигнала</w:t>
      </w:r>
      <w:r>
        <w:t xml:space="preserve">. Над кубом работает</w:t>
      </w:r>
      <w:r>
        <w:t xml:space="preserve"> </w:t>
      </w:r>
      <w:r>
        <w:rPr>
          <w:b/>
        </w:rPr>
        <w:t xml:space="preserve">один токенизатор</w:t>
      </w:r>
      <w:r>
        <w:t xml:space="preserve">, безразличный к тому, чем куб заполнен. Плоская токенизация главы 4 — частный случай при</w:t>
      </w:r>
      <w:r>
        <w:t xml:space="preserve"> </w:t>
      </w:r>
      <w:r>
        <w:rPr>
          <w:rStyle w:val="VerbatimChar"/>
        </w:rPr>
        <w:t xml:space="preserve">L = 1</w:t>
      </w:r>
      <w:r>
        <w:t xml:space="preserve">. В этом стержень: одно ядро — много интерфейсов.</w:t>
      </w:r>
    </w:p>
    <w:p>
      <w:pPr>
        <w:pStyle w:val="Heading2"/>
      </w:pPr>
      <w:bookmarkStart w:id="21" w:name="бис.1.-единый-куб-угол-угол-дальность"/>
      <w:r>
        <w:t xml:space="preserve">4-бис.1. Единый куб «угол × угол × дальность»</w:t>
      </w:r>
      <w:bookmarkEnd w:id="21"/>
    </w:p>
    <w:p>
      <w:pPr>
        <w:pStyle w:val="FirstParagraph"/>
      </w:pPr>
      <w:r>
        <w:t xml:space="preserve">Общий интерфейс — объём</w:t>
      </w:r>
      <w:r>
        <w:t xml:space="preserve"> </w:t>
      </w:r>
      <w:r>
        <w:rPr>
          <w:rStyle w:val="VerbatimChar"/>
        </w:rPr>
        <w:t xml:space="preserve">16×16×L</w:t>
      </w:r>
      <w:r>
        <w:t xml:space="preserve"> </w:t>
      </w:r>
      <w:r>
        <w:t xml:space="preserve">(апертура × апертура × дальность). Оба режима заполняют</w:t>
      </w:r>
      <w:r>
        <w:t xml:space="preserve"> </w:t>
      </w:r>
      <w:r>
        <w:rPr>
          <w:b/>
        </w:rPr>
        <w:t xml:space="preserve">один и тот же куб</w:t>
      </w:r>
      <w:r>
        <w:t xml:space="preserve">, отличаясь лишь способом заполнения: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ЛЧМ-точность:</w:t>
      </w:r>
      <w:r>
        <w:t xml:space="preserve"> </w:t>
      </w:r>
      <w:r>
        <w:t xml:space="preserve">глобальный дальностный FFT + поячеечный угловой 16×16 (главы 3–4) — куб заполнен дальностно-разрешённо, плотно.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AM-присутствие:</w:t>
      </w:r>
      <w:r>
        <w:t xml:space="preserve"> </w:t>
      </w:r>
      <w:r>
        <w:t xml:space="preserve">локальный</w:t>
      </w:r>
      <w:r>
        <w:t xml:space="preserve"> </w:t>
      </w:r>
      <w:r>
        <w:rPr>
          <w:b/>
        </w:rPr>
        <w:t xml:space="preserve">трёхмерный FFT</w:t>
      </w:r>
      <w:r>
        <w:t xml:space="preserve"> </w:t>
      </w:r>
      <w:r>
        <w:t xml:space="preserve">по скользящему окну</w:t>
      </w:r>
      <w:r>
        <w:t xml:space="preserve"> </w:t>
      </w:r>
      <w:r>
        <w:rPr>
          <w:rStyle w:val="VerbatimChar"/>
        </w:rPr>
        <w:t xml:space="preserve">16×16×D</w:t>
      </w:r>
      <w:r>
        <w:t xml:space="preserve"> </w:t>
      </w:r>
      <w:r>
        <w:t xml:space="preserve">(глубина окна</w:t>
      </w:r>
      <w:r>
        <w:t xml:space="preserve"> </w:t>
      </w:r>
      <w:r>
        <w:rPr>
          <w:rStyle w:val="VerbatimChar"/>
        </w:rPr>
        <w:t xml:space="preserve">D</w:t>
      </w:r>
      <w:r>
        <w:t xml:space="preserve">, напр. 16) с переменным шагом (8/16/32/64) — куб заполнен грубо и разреженно.</w:t>
      </w:r>
    </w:p>
    <w:p>
      <w:pPr>
        <w:pStyle w:val="FirstParagraph"/>
      </w:pPr>
      <w:r>
        <w:t xml:space="preserve">Дальше —</w:t>
      </w:r>
      <w:r>
        <w:t xml:space="preserve"> </w:t>
      </w:r>
      <w:r>
        <w:rPr>
          <w:b/>
        </w:rPr>
        <w:t xml:space="preserve">один объёмный токенизатор</w:t>
      </w:r>
      <w:r>
        <w:t xml:space="preserve">, безразличный к тому, чем куб заполнен. Это и есть абстракция: одно ядро, разный фронт.</w:t>
      </w:r>
    </w:p>
    <w:p>
      <w:pPr>
        <w:pStyle w:val="Heading2"/>
      </w:pPr>
      <w:bookmarkStart w:id="22" w:name="X46ac445a9a806142cb5acab7d37c7a7fac286b2"/>
      <w:r>
        <w:t xml:space="preserve">4-бис.2. AM-фронтенд: быстрый «есть/нет + примерно где»</w:t>
      </w:r>
      <w:bookmarkEnd w:id="22"/>
    </w:p>
    <w:p>
      <w:pPr>
        <w:pStyle w:val="FirstParagraph"/>
      </w:pPr>
      <w:r>
        <w:t xml:space="preserve">Вход этого интерфейса — отдельный</w:t>
      </w:r>
      <w:r>
        <w:t xml:space="preserve"> </w:t>
      </w:r>
      <w:r>
        <w:rPr>
          <w:b/>
        </w:rPr>
        <w:t xml:space="preserve">лёгкий амплитудно-модулированный зонд</w:t>
      </w:r>
      <w:r>
        <w:t xml:space="preserve"> </w:t>
      </w:r>
      <w:r>
        <w:t xml:space="preserve">(быстрый грубый обзор; при необходимости — огибающая широкополосного приёма). AM отвечает не на «точно где», а на «есть ли что-то в квадрате». В идеале AM-куб — почти сплошной шум с</w:t>
      </w:r>
      <w:r>
        <w:t xml:space="preserve"> </w:t>
      </w:r>
      <w:r>
        <w:rPr>
          <w:b/>
        </w:rPr>
        <w:t xml:space="preserve">редкими выбросами</w:t>
      </w:r>
      <w:r>
        <w:t xml:space="preserve"> </w:t>
      </w:r>
      <w:r>
        <w:t xml:space="preserve">там, где надо исследовать. Дёшево, потому что: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переменный шаг</w:t>
      </w:r>
      <w:r>
        <w:t xml:space="preserve"> </w:t>
      </w:r>
      <w:r>
        <w:t xml:space="preserve">8/16/32/64 — ручка «грубо↔точно»: крупный шаг подвыбирает дальность (читаем меньше), мелкий (8) — только в помеченных зонах;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произвольный под-куб</w:t>
      </w:r>
      <w:r>
        <w:t xml:space="preserve">: обрабатываем участок любого размера (вплоть до</w:t>
      </w:r>
      <w:r>
        <w:t xml:space="preserve"> </w:t>
      </w:r>
      <w:r>
        <w:rPr>
          <w:rStyle w:val="VerbatimChar"/>
        </w:rPr>
        <w:t xml:space="preserve">8×8×L</w:t>
      </w:r>
      <w:r>
        <w:t xml:space="preserve">) и</w:t>
      </w:r>
      <w:r>
        <w:t xml:space="preserve"> </w:t>
      </w:r>
      <w:r>
        <w:rPr>
          <w:b/>
        </w:rPr>
        <w:t xml:space="preserve">в любой точке</w:t>
      </w:r>
      <w:r>
        <w:t xml:space="preserve"> </w:t>
      </w:r>
      <w:r>
        <w:t xml:space="preserve">объёма, не с начала — «только конец», только заказанная часть длины;</w:t>
      </w:r>
    </w:p>
    <w:p>
      <w:pPr>
        <w:numPr>
          <w:ilvl w:val="0"/>
          <w:numId w:val="1002"/>
        </w:numPr>
        <w:pStyle w:val="Compact"/>
      </w:pPr>
      <w:r>
        <w:t xml:space="preserve">никакой тонкой дальности и когерентной точности — это работа FM-m.</w:t>
      </w:r>
    </w:p>
    <w:p>
      <w:pPr>
        <w:pStyle w:val="FirstParagraph"/>
      </w:pPr>
      <w:r>
        <w:rPr>
          <w:b/>
        </w:rPr>
        <w:t xml:space="preserve">Почему именно 3D, а не 2D по блоку.</w:t>
      </w:r>
      <w:r>
        <w:t xml:space="preserve"> </w:t>
      </w:r>
      <w:r>
        <w:t xml:space="preserve">Плоский угловой FFT показывает лишь «энергия есть» (переход 0→1) и не отличает точку от сплошного. Третья ось несёт</w:t>
      </w:r>
      <w:r>
        <w:t xml:space="preserve"> </w:t>
      </w:r>
      <w:r>
        <w:rPr>
          <w:b/>
        </w:rPr>
        <w:t xml:space="preserve">форму по дальности</w:t>
      </w:r>
      <w:r>
        <w:t xml:space="preserve">: локальный отклик даёт</w:t>
      </w:r>
      <w:r>
        <w:t xml:space="preserve"> </w:t>
      </w:r>
      <w:r>
        <w:rPr>
          <w:b/>
        </w:rPr>
        <w:t xml:space="preserve">компактный колокол</w:t>
      </w:r>
      <w:r>
        <w:t xml:space="preserve">, а длинный/непрерывный источник — размазанный профиль с провалом. То есть 3D-FFT сразу отделяет «сконцентрировано» (кандидат) от «размазано» (шум/помеха) — концентрация как признак, прямо в кубе.</w:t>
      </w:r>
    </w:p>
    <w:p>
      <w:pPr>
        <w:pStyle w:val="Heading2"/>
      </w:pPr>
      <w:bookmarkStart w:id="23" w:name="бис.3.-объёмный-токенизатор"/>
      <w:r>
        <w:t xml:space="preserve">4-бис.3. Объёмный токенизатор</w:t>
      </w:r>
      <w:bookmarkEnd w:id="23"/>
    </w:p>
    <w:p>
      <w:pPr>
        <w:pStyle w:val="FirstParagraph"/>
      </w:pPr>
      <w:r>
        <w:t xml:space="preserve">Над кубом работает одно ядро:</w:t>
      </w:r>
    </w:p>
    <w:p>
      <w:pPr>
        <w:pStyle w:val="SourceCode"/>
      </w:pPr>
      <w:r>
        <w:rPr>
          <w:rStyle w:val="VerbatimChar"/>
        </w:rPr>
        <w:t xml:space="preserve">под-куб 16×16×L → 3D-FFT → OS-CFAR по объёму → 3D-признаки → токен</w:t>
      </w:r>
    </w:p>
    <w:p>
      <w:pPr>
        <w:pStyle w:val="FirstParagraph"/>
      </w:pPr>
      <w:r>
        <w:t xml:space="preserve">Признаки — прямое обобщение плоских на объём: главный лепесток</w:t>
      </w:r>
      <w:r>
        <w:t xml:space="preserve"> </w:t>
      </w:r>
      <w:r>
        <w:rPr>
          <w:b/>
        </w:rPr>
        <w:t xml:space="preserve">3×3×3</w:t>
      </w:r>
      <w:r>
        <w:t xml:space="preserve">, охранная зона</w:t>
      </w:r>
      <w:r>
        <w:t xml:space="preserve"> </w:t>
      </w:r>
      <w:r>
        <w:rPr>
          <w:b/>
        </w:rPr>
        <w:t xml:space="preserve">5×5×5</w:t>
      </w:r>
      <w:r>
        <w:t xml:space="preserve">, PR/Hoyer по вокселям (16×16×L), интегральное отношение лепестков в 3D. Порог выброса —</w:t>
      </w:r>
      <w:r>
        <w:t xml:space="preserve"> </w:t>
      </w:r>
      <w:r>
        <w:rPr>
          <w:b/>
        </w:rPr>
        <w:t xml:space="preserve">OS-CFAR в 3D</w:t>
      </w:r>
      <w:r>
        <w:t xml:space="preserve"> </w:t>
      </w:r>
      <w:r>
        <w:t xml:space="preserve">(объёмные обучающие/охранные ячейки), тот же принцип, что в плоском тракте.</w:t>
      </w:r>
      <w:r>
        <w:t xml:space="preserve"> </w:t>
      </w:r>
      <w:r>
        <w:rPr>
          <w:b/>
        </w:rPr>
        <w:t xml:space="preserve">Двумерная токенизация глав 3–4 — частный случай при L = 1.</w:t>
      </w:r>
    </w:p>
    <w:p>
      <w:pPr>
        <w:pStyle w:val="BodyText"/>
      </w:pPr>
      <w:r>
        <w:t xml:space="preserve">Выход — тот же структурный токен (теперь пик в 3D:</w:t>
      </w:r>
      <w:r>
        <w:t xml:space="preserve"> </w:t>
      </w:r>
      <w:r>
        <w:rPr>
          <w:rStyle w:val="VerbatimChar"/>
        </w:rPr>
        <w:t xml:space="preserve">k_x, k_y, k_z</w:t>
      </w:r>
      <w:r>
        <w:t xml:space="preserve"> </w:t>
      </w:r>
      <w:r>
        <w:t xml:space="preserve">+ грубая дальность-позиция окна + признаки + метка), и дальше —</w:t>
      </w:r>
      <w:r>
        <w:t xml:space="preserve"> </w:t>
      </w:r>
      <w:r>
        <w:rPr>
          <w:b/>
        </w:rPr>
        <w:t xml:space="preserve">тот же</w:t>
      </w:r>
      <w:r>
        <w:t xml:space="preserve"> </w:t>
      </w:r>
      <w:r>
        <w:t xml:space="preserve">конвейер: гейт → арбитр переднего края / код → L3 → опрос FM-m.</w:t>
      </w:r>
    </w:p>
    <w:p>
      <w:pPr>
        <w:pStyle w:val="Heading2"/>
      </w:pPr>
      <w:bookmarkStart w:id="24" w:name="бис.4.-объект-и-радиолюбитель-rfi-в-кубе"/>
      <w:r>
        <w:t xml:space="preserve">4-бис.4. Объект и радиолюбитель (RFI) в кубе</w:t>
      </w:r>
      <w:bookmarkEnd w:id="24"/>
    </w:p>
    <w:p>
      <w:pPr>
        <w:pStyle w:val="FirstParagraph"/>
      </w:pPr>
      <w:r>
        <w:t xml:space="preserve">Пример разделения одним алгоритмом: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объект</w:t>
      </w:r>
      <w:r>
        <w:t xml:space="preserve"> </w:t>
      </w:r>
      <w:r>
        <w:t xml:space="preserve">— когерентный отклик:</w:t>
      </w:r>
      <w:r>
        <w:t xml:space="preserve"> </w:t>
      </w:r>
      <w:r>
        <w:rPr>
          <w:b/>
        </w:rPr>
        <w:t xml:space="preserve">компактный выброс</w:t>
      </w:r>
      <w:r>
        <w:t xml:space="preserve"> </w:t>
      </w:r>
      <w:r>
        <w:t xml:space="preserve">в одном угловом квадрате и одном блоке дальности (колокол);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радиолюбитель (RFI)</w:t>
      </w:r>
      <w:r>
        <w:t xml:space="preserve"> </w:t>
      </w:r>
      <w:r>
        <w:t xml:space="preserve">— непрерывный внешний источник со своего угла: не эхо, приходит непрерывно → выброс на его угле</w:t>
      </w:r>
      <w:r>
        <w:t xml:space="preserve"> </w:t>
      </w:r>
      <w:r>
        <w:rPr>
          <w:b/>
        </w:rPr>
        <w:t xml:space="preserve">во всех блоках дальности</w:t>
      </w:r>
      <w:r>
        <w:t xml:space="preserve"> </w:t>
      </w:r>
      <w:r>
        <w:t xml:space="preserve">(полоса), а по третьей оси —</w:t>
      </w:r>
      <w:r>
        <w:t xml:space="preserve"> </w:t>
      </w:r>
      <w:r>
        <w:rPr>
          <w:b/>
        </w:rPr>
        <w:t xml:space="preserve">застывший тон</w:t>
      </w:r>
      <w:r>
        <w:t xml:space="preserve"> </w:t>
      </w:r>
      <w:r>
        <w:t xml:space="preserve">во всех окнах.</w:t>
      </w:r>
    </w:p>
    <w:p>
      <w:pPr>
        <w:pStyle w:val="FirstParagraph"/>
      </w:pPr>
      <w:r>
        <w:t xml:space="preserve">Тот же токенизатор и та же сборка по дальности видят: объект локализован (один блок), RFI — размазан по всей дальности → распознаётся как непрерывный источник; окончательно RFI отсекает FM-m код-арбитр (не ответит на свежий код). Спец-случая нет.</w:t>
      </w:r>
    </w:p>
    <w:p>
      <w:pPr>
        <w:pStyle w:val="BodyText"/>
      </w:pPr>
      <w:r>
        <w:rPr>
          <w:b/>
        </w:rPr>
        <w:t xml:space="preserve">«Летит» — не из куба.</w:t>
      </w:r>
      <w:r>
        <w:t xml:space="preserve"> </w:t>
      </w:r>
      <w:r>
        <w:t xml:space="preserve">Окно быстрого времени слишком коротко для доплера; движение определяется</w:t>
      </w:r>
      <w:r>
        <w:t xml:space="preserve"> </w:t>
      </w:r>
      <w:r>
        <w:rPr>
          <w:b/>
        </w:rPr>
        <w:t xml:space="preserve">трекингом выброса между тактами</w:t>
      </w:r>
      <w:r>
        <w:t xml:space="preserve"> </w:t>
      </w:r>
      <w:r>
        <w:t xml:space="preserve">(либо отдельной осью пачки), а не внутри одного AM-куба.</w:t>
      </w:r>
    </w:p>
    <w:p>
      <w:pPr>
        <w:pStyle w:val="Heading2"/>
      </w:pPr>
      <w:bookmarkStart w:id="25" w:name="бис.5.-реализация-и-бюджет-mi100"/>
      <w:r>
        <w:t xml:space="preserve">4-бис.5. Реализация и бюджет (MI100)</w:t>
      </w:r>
      <w:bookmarkEnd w:id="25"/>
    </w:p>
    <w:p>
      <w:pPr>
        <w:pStyle w:val="FirstParagraph"/>
      </w:pPr>
      <w:r>
        <w:t xml:space="preserve">Под-куб загружается в</w:t>
      </w:r>
      <w:r>
        <w:t xml:space="preserve"> </w:t>
      </w:r>
      <w:r>
        <w:rPr>
          <w:b/>
        </w:rPr>
        <w:t xml:space="preserve">память рабочей группы (LDS)</w:t>
      </w:r>
      <w:r>
        <w:t xml:space="preserve">, угловые плоскости 3D-БПФ считаются на матричных блоках, порог и токенизация — там же, без выхода в VRAM; сбор апертуры поперёк антенн (данные лежат антенна-за-антенной) — страйд-чтениями при загрузке в LDS, отдельного прохода нет.</w:t>
      </w:r>
    </w:p>
    <w:p>
      <w:pPr>
        <w:pStyle w:val="BodyText"/>
      </w:pPr>
      <w:r>
        <w:t xml:space="preserve">Порядок величин на MI100 (полоса 1.23 ТБ/с), объём 16×16×N: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0.5М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грубый скан, шаг 64 (¼ объёма)</w:t>
            </w:r>
          </w:p>
        </w:tc>
        <w:tc>
          <w:p>
            <w:pPr>
              <w:pStyle w:val="Compact"/>
              <w:jc w:val="left"/>
            </w:pPr>
            <w:r>
              <w:t xml:space="preserve">~0.2–0.3 мс</w:t>
            </w:r>
          </w:p>
        </w:tc>
        <w:tc>
          <w:p>
            <w:pPr>
              <w:pStyle w:val="Compact"/>
              <w:jc w:val="left"/>
            </w:pPr>
            <w:r>
              <w:t xml:space="preserve">~0.4–0.5 мс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сплошной, шаг 16</w:t>
            </w:r>
          </w:p>
        </w:tc>
        <w:tc>
          <w:p>
            <w:pPr>
              <w:pStyle w:val="Compact"/>
              <w:jc w:val="left"/>
            </w:pPr>
            <w:r>
              <w:t xml:space="preserve">~1 мс</w:t>
            </w:r>
          </w:p>
        </w:tc>
        <w:tc>
          <w:p>
            <w:pPr>
              <w:pStyle w:val="Compact"/>
              <w:jc w:val="left"/>
            </w:pPr>
            <w:r>
              <w:t xml:space="preserve">~2 мс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под-куб</w:t>
            </w:r>
            <w:r>
              <w:t xml:space="preserve"> </w:t>
            </w:r>
            <w:r>
              <w:rPr>
                <w:rStyle w:val="VerbatimChar"/>
              </w:rPr>
              <w:t xml:space="preserve">8×8×пару-тысяч</w:t>
            </w:r>
            <w:r>
              <w:t xml:space="preserve"> </w:t>
            </w:r>
            <w:r>
              <w:t xml:space="preserve">(зум/«только конец»)</w:t>
            </w:r>
          </w:p>
        </w:tc>
        <w:tc>
          <w:p>
            <w:pPr>
              <w:pStyle w:val="Compact"/>
              <w:jc w:val="left"/>
            </w:pPr>
            <w:r>
              <w:t xml:space="preserve">микросекунды</w:t>
            </w:r>
          </w:p>
        </w:tc>
        <w:tc>
          <w:p>
            <w:pPr>
              <w:pStyle w:val="Compact"/>
              <w:jc w:val="left"/>
            </w:pPr>
            <w:r>
              <w:t xml:space="preserve">микросекунды</w:t>
            </w:r>
          </w:p>
        </w:tc>
      </w:tr>
    </w:tbl>
    <w:p>
      <w:pPr>
        <w:pStyle w:val="BodyText"/>
      </w:pPr>
      <w:r>
        <w:t xml:space="preserve">Полная длина 0.5–1М — осознанная, заложенная задержка; «быстро» достигается крупным шагом и/или частичным под-кубом.</w:t>
      </w:r>
    </w:p>
    <w:p>
      <w:pPr>
        <w:pStyle w:val="Heading2"/>
      </w:pPr>
      <w:bookmarkStart w:id="26" w:name="бис.6.-итог"/>
      <w:r>
        <w:t xml:space="preserve">4-бис.6. Итог</w:t>
      </w:r>
      <w:bookmarkEnd w:id="26"/>
    </w:p>
    <w:p>
      <w:pPr>
        <w:pStyle w:val="FirstParagraph"/>
      </w:pPr>
      <w:r>
        <w:t xml:space="preserve">Токен — универсальный интерфейс; фронтенд лишь заполняет куб (AM грубо / ЛЧМ точно), а объёмный токенизатор один. Отсюда одно абстрактное ядро, инвариантный к фронтенду пайплайн и, как следствие, простота и патентная широта (зависимые пункты об объёмном токене и инвариантности к фронтенду).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2026-07-10T13:24:53Z</dcterms:created>
  <dcterms:modified xsi:type="dcterms:W3CDTF">2026-07-10T13:24:53Z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