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9454e105885cb1816b9502907ea8b8dea3428c"/>
      <w:r>
        <w:t xml:space="preserve">Глава 5. Физический арбитр: правило переднего края</w:t>
      </w:r>
      <w:bookmarkEnd w:id="20"/>
    </w:p>
    <w:p>
      <w:pPr>
        <w:pStyle w:val="Heading2"/>
      </w:pPr>
      <w:bookmarkStart w:id="21" w:name="место-главы-в-конвейере"/>
      <w:r>
        <w:t xml:space="preserve">5.0. Место главы в конвейере</w:t>
      </w:r>
      <w:bookmarkEnd w:id="21"/>
    </w:p>
    <w:p>
      <w:pPr>
        <w:pStyle w:val="FirstParagraph"/>
      </w:pPr>
      <w:r>
        <w:t xml:space="preserve">Гейт главы 4 сжал объём в матрицу токенов и грубо разметил срезы (шум / собранный источник / размазанный), но метку «цель / ложная» он не ставит: ретранслятор даёт «собранный источник», по одной угловой карте неотличимый от настоящей цели. Окончательное решение выносит</w:t>
      </w:r>
      <w:r>
        <w:t xml:space="preserve"> </w:t>
      </w:r>
      <w:r>
        <w:rPr>
          <w:b/>
        </w:rPr>
        <w:t xml:space="preserve">физический арбитр</w:t>
      </w:r>
      <w:r>
        <w:t xml:space="preserve"> </w:t>
      </w:r>
      <w:r>
        <w:t xml:space="preserve">настоящей главы — не нейросеть, а причинностный принцип, который противник не может подделать.</w:t>
      </w:r>
    </w:p>
    <w:p>
      <w:pPr>
        <w:pStyle w:val="Heading2"/>
      </w:pPr>
      <w:bookmarkStart w:id="22" w:name="причинность-τ-0"/>
      <w:r>
        <w:t xml:space="preserve">5.1. Причинность: τ ≥ 0</w:t>
      </w:r>
      <w:bookmarkEnd w:id="22"/>
    </w:p>
    <w:p>
      <w:pPr>
        <w:pStyle w:val="FirstParagraph"/>
      </w:pPr>
      <w:r>
        <w:t xml:space="preserve">DRFM/ретранслятор — это</w:t>
      </w:r>
      <w:r>
        <w:t xml:space="preserve"> </w:t>
      </w:r>
      <w:r>
        <w:rPr>
          <w:b/>
        </w:rPr>
        <w:t xml:space="preserve">пере</w:t>
      </w:r>
      <w:r>
        <w:t xml:space="preserve">датчик: он обязан сначала принять зондирующий сигнал, затем переизлучить его. Приём, обработка в памяти и переизлучение занимают неотрицательное время, поэтому любой отклик, созданный ретранслятором, приходит</w:t>
      </w:r>
      <w:r>
        <w:t xml:space="preserve"> </w:t>
      </w:r>
      <w:r>
        <w:rPr>
          <w:b/>
        </w:rPr>
        <w:t xml:space="preserve">позже</w:t>
      </w:r>
      <w:r>
        <w:t xml:space="preserve"> </w:t>
      </w:r>
      <w:r>
        <w:t xml:space="preserve">прямого отражения истинной цели. Время переводится в дальность, значит ложная цель, слепленная ретранслятором, стоит на</w:t>
      </w:r>
      <w:r>
        <w:t xml:space="preserve"> </w:t>
      </w:r>
      <w:r>
        <w:rPr>
          <w:b/>
        </w:rPr>
        <w:t xml:space="preserve">той же дальности или дальше</w:t>
      </w:r>
      <w:r>
        <w:t xml:space="preserve"> </w:t>
      </w:r>
      <w:r>
        <w:t xml:space="preserve">истинной — и никогда ближе:</w:t>
      </w:r>
    </w:p>
    <w:p>
      <w:pPr>
        <w:pStyle w:val="SourceCode"/>
      </w:pPr>
      <w:r>
        <w:rPr>
          <w:rStyle w:val="VerbatimChar"/>
        </w:rPr>
        <w:t xml:space="preserve">τ ≥ 0   →   R_ложн ≥ R_цель</w:t>
      </w:r>
    </w:p>
    <w:p>
      <w:pPr>
        <w:pStyle w:val="FirstParagraph"/>
      </w:pPr>
      <w:r>
        <w:t xml:space="preserve">Ось возможных положений ложных целей</w:t>
      </w:r>
      <w:r>
        <w:t xml:space="preserve"> </w:t>
      </w:r>
      <w:r>
        <w:rPr>
          <w:b/>
        </w:rPr>
        <w:t xml:space="preserve">односторонняя</w:t>
      </w:r>
      <w:r>
        <w:t xml:space="preserve">. Это фундамент главы: истинная цель — передний край причинностной группы.</w:t>
      </w:r>
    </w:p>
    <w:p>
      <w:pPr>
        <w:pStyle w:val="BodyText"/>
      </w:pPr>
      <w:r>
        <w:t xml:space="preserve">Важная оговорка: ложная цель может быть</w:t>
      </w:r>
      <w:r>
        <w:t xml:space="preserve"> </w:t>
      </w:r>
      <w:r>
        <w:rPr>
          <w:b/>
        </w:rPr>
        <w:t xml:space="preserve">ярче</w:t>
      </w:r>
      <w:r>
        <w:t xml:space="preserve"> </w:t>
      </w:r>
      <w:r>
        <w:t xml:space="preserve">истинной (DRFM усиливает сигнал, чтобы увести захват). Поэтому решение принимается</w:t>
      </w:r>
      <w:r>
        <w:t xml:space="preserve"> </w:t>
      </w:r>
      <w:r>
        <w:rPr>
          <w:b/>
        </w:rPr>
        <w:t xml:space="preserve">по дальности, а не по яркости</w:t>
      </w:r>
      <w:r>
        <w:t xml:space="preserve">: ближний член группы, а не самый яркий.</w:t>
      </w:r>
    </w:p>
    <w:p>
      <w:pPr>
        <w:pStyle w:val="Heading2"/>
      </w:pPr>
      <w:bookmarkStart w:id="23" w:name="X1ac93c97995fb36ed45d24e158c90f363b31814"/>
      <w:r>
        <w:t xml:space="preserve">5.2. Вариант 1 — передний край по дальности (геометрия)</w:t>
      </w:r>
      <w:bookmarkEnd w:id="23"/>
    </w:p>
    <w:p>
      <w:pPr>
        <w:pStyle w:val="FirstParagraph"/>
      </w:pPr>
      <w:r>
        <w:t xml:space="preserve">Работает на картине широкого ЛЧМ-обзора, по профилю токенов вдоль дальности (проход 2 главы 4). В причинностной группе — истинное отражение и следующая за ним гребёнка копий с регулярным шагом. Правило:</w:t>
      </w:r>
    </w:p>
    <w:p>
      <w:pPr>
        <w:pStyle w:val="BlockText"/>
      </w:pPr>
      <w:r>
        <w:t xml:space="preserve">ведущий (ближний по дальности) член группы — истинная цель; хвостовые пики с регулярным шагом — кандидаты в ложные.</w:t>
      </w:r>
    </w:p>
    <w:p>
      <w:pPr>
        <w:pStyle w:val="FirstParagraph"/>
      </w:pPr>
      <w:r>
        <w:t xml:space="preserve">Регулярность гребёнки подтверждается автокорреляцией цепочки токенов, но метку определяет именно</w:t>
      </w:r>
      <w:r>
        <w:t xml:space="preserve"> </w:t>
      </w:r>
      <w:r>
        <w:rPr>
          <w:b/>
        </w:rPr>
        <w:t xml:space="preserve">передний край</w:t>
      </w:r>
      <w:r>
        <w:t xml:space="preserve">. Признак чисто геометрический, кодов не требует и работает уже на этапе обзора.</w:t>
      </w:r>
    </w:p>
    <w:p>
      <w:pPr>
        <w:pStyle w:val="Heading2"/>
      </w:pPr>
      <w:bookmarkStart w:id="24" w:name="вариант-2-свежесть-кода-сигнал"/>
      <w:r>
        <w:t xml:space="preserve">5.3. Вариант 2 — свежесть кода (сигнал)</w:t>
      </w:r>
      <w:bookmarkEnd w:id="24"/>
    </w:p>
    <w:p>
      <w:pPr>
        <w:pStyle w:val="FirstParagraph"/>
      </w:pPr>
      <w:r>
        <w:t xml:space="preserve">Работает на этапе точечного опроса FM-m. Код опроса</w:t>
      </w:r>
      <w:r>
        <w:t xml:space="preserve"> </w:t>
      </w:r>
      <w:r>
        <w:rPr>
          <w:b/>
        </w:rPr>
        <w:t xml:space="preserve">свежий и непредсказуемый</w:t>
      </w:r>
      <w:r>
        <w:t xml:space="preserve"> </w:t>
      </w:r>
      <w:r>
        <w:t xml:space="preserve">и меняется от такта к такту, поэтому противник не может подделать ответ на код, которого ещё не слышал. Переизлучение ретранслятора либо несёт</w:t>
      </w:r>
      <w:r>
        <w:t xml:space="preserve"> </w:t>
      </w:r>
      <w:r>
        <w:rPr>
          <w:b/>
        </w:rPr>
        <w:t xml:space="preserve">не тот код</w:t>
      </w:r>
      <w:r>
        <w:t xml:space="preserve"> </w:t>
      </w:r>
      <w:r>
        <w:t xml:space="preserve">— в корреляторе не сжимается в пик и подавляется на ~10·log₁₀(L) дБ (проигрыш согласования), либо приходит</w:t>
      </w:r>
      <w:r>
        <w:t xml:space="preserve"> </w:t>
      </w:r>
      <w:r>
        <w:rPr>
          <w:b/>
        </w:rPr>
        <w:t xml:space="preserve">позже</w:t>
      </w:r>
      <w:r>
        <w:t xml:space="preserve"> </w:t>
      </w:r>
      <w:r>
        <w:t xml:space="preserve">— оказывается дальше и снова попадает под правило переднего края.</w:t>
      </w:r>
    </w:p>
    <w:p>
      <w:pPr>
        <w:pStyle w:val="BodyText"/>
      </w:pPr>
      <w:r>
        <w:t xml:space="preserve">Это свойство самого зонда FM-m: непредсказуемость кода делает согласованный отклик</w:t>
      </w:r>
      <w:r>
        <w:t xml:space="preserve"> </w:t>
      </w:r>
      <w:r>
        <w:rPr>
          <w:b/>
        </w:rPr>
        <w:t xml:space="preserve">неподделываемым признаком</w:t>
      </w:r>
      <w:r>
        <w:t xml:space="preserve"> </w:t>
      </w:r>
      <w:r>
        <w:t xml:space="preserve">истинной цели.</w:t>
      </w:r>
    </w:p>
    <w:p>
      <w:pPr>
        <w:pStyle w:val="Heading2"/>
      </w:pPr>
      <w:bookmarkStart w:id="25" w:name="почему-держим-оба-варианта"/>
      <w:r>
        <w:t xml:space="preserve">5.4. Почему держим оба варианта</w:t>
      </w:r>
      <w:bookmarkEnd w:id="25"/>
    </w:p>
    <w:p>
      <w:pPr>
        <w:pStyle w:val="FirstParagraph"/>
      </w:pPr>
      <w:r>
        <w:t xml:space="preserve">Оба признака вытекают из одной причинности (τ ≥ 0), но действуют на</w:t>
      </w:r>
      <w:r>
        <w:t xml:space="preserve"> </w:t>
      </w:r>
      <w:r>
        <w:rPr>
          <w:b/>
        </w:rPr>
        <w:t xml:space="preserve">разных осях и разных этапах</w:t>
      </w:r>
      <w:r>
        <w:t xml:space="preserve">, и потому закрывают слабые места друг друга — противник обязан обойти</w:t>
      </w:r>
      <w:r>
        <w:t xml:space="preserve"> </w:t>
      </w:r>
      <w:r>
        <w:rPr>
          <w:b/>
        </w:rPr>
        <w:t xml:space="preserve">сразу оба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если на данном такте истинное эхо слабое (замирание, ракурс с малой ЭПР) и ближний край ненадёжен — ретранслятор всё равно ловится</w:t>
      </w:r>
      <w:r>
        <w:t xml:space="preserve"> </w:t>
      </w:r>
      <w:r>
        <w:rPr>
          <w:b/>
        </w:rPr>
        <w:t xml:space="preserve">свежестью кода</w:t>
      </w:r>
      <w:r>
        <w:t xml:space="preserve"> </w:t>
      </w:r>
      <w:r>
        <w:t xml:space="preserve">(несёт не тот код);</w:t>
      </w:r>
    </w:p>
    <w:p>
      <w:pPr>
        <w:numPr>
          <w:ilvl w:val="0"/>
          <w:numId w:val="1001"/>
        </w:numPr>
        <w:pStyle w:val="Compact"/>
      </w:pPr>
      <w:r>
        <w:t xml:space="preserve">если помеха ухитрилась ответить текущим кодом — она физически</w:t>
      </w:r>
      <w:r>
        <w:t xml:space="preserve"> </w:t>
      </w:r>
      <w:r>
        <w:rPr>
          <w:b/>
        </w:rPr>
        <w:t xml:space="preserve">не может</w:t>
      </w:r>
      <w:r>
        <w:t xml:space="preserve"> </w:t>
      </w:r>
      <w:r>
        <w:t xml:space="preserve">оказаться ближе истинной цели, её берёт</w:t>
      </w:r>
      <w:r>
        <w:t xml:space="preserve"> </w:t>
      </w:r>
      <w:r>
        <w:rPr>
          <w:b/>
        </w:rPr>
        <w:t xml:space="preserve">передний край</w:t>
      </w:r>
      <w:r>
        <w:t xml:space="preserve"> </w:t>
      </w:r>
      <w:r>
        <w:t xml:space="preserve">по дальности.</w:t>
      </w:r>
    </w:p>
    <w:p>
      <w:pPr>
        <w:pStyle w:val="FirstParagraph"/>
      </w:pPr>
      <w:r>
        <w:t xml:space="preserve">Геометрия ловит то, что упускает код, и наоборот. Это и даёт надёжность при ограниченной цене (приоритет надёжность → скорость).</w:t>
      </w:r>
    </w:p>
    <w:p>
      <w:pPr>
        <w:pStyle w:val="Heading2"/>
      </w:pPr>
      <w:bookmarkStart w:id="26" w:name="область-действия"/>
      <w:r>
        <w:t xml:space="preserve">5.5. Область действия</w:t>
      </w:r>
      <w:bookmarkEnd w:id="26"/>
    </w:p>
    <w:p>
      <w:pPr>
        <w:pStyle w:val="FirstParagraph"/>
      </w:pPr>
      <w:r>
        <w:t xml:space="preserve">Правило переднего края строго верно для</w:t>
      </w:r>
      <w:r>
        <w:t xml:space="preserve"> </w:t>
      </w:r>
      <w:r>
        <w:rPr>
          <w:b/>
        </w:rPr>
        <w:t xml:space="preserve">самозащитной (самоприкрывающей) помехи</w:t>
      </w:r>
      <w:r>
        <w:t xml:space="preserve"> </w:t>
      </w:r>
      <w:r>
        <w:t xml:space="preserve">— излучаемой с носителя самой цели. Уводящий или загораживающий джаммер на</w:t>
      </w:r>
      <w:r>
        <w:t xml:space="preserve"> </w:t>
      </w:r>
      <w:r>
        <w:rPr>
          <w:b/>
        </w:rPr>
        <w:t xml:space="preserve">ином</w:t>
      </w:r>
      <w:r>
        <w:t xml:space="preserve">, физически более близком носителе может оказаться ближе истинной цели; но это уже не самоприкрытие, и он отделяется</w:t>
      </w:r>
      <w:r>
        <w:t xml:space="preserve"> </w:t>
      </w:r>
      <w:r>
        <w:rPr>
          <w:b/>
        </w:rPr>
        <w:t xml:space="preserve">свежестью кода</w:t>
      </w:r>
      <w:r>
        <w:t xml:space="preserve"> </w:t>
      </w:r>
      <w:r>
        <w:t xml:space="preserve">(не отвечает согласованно на свежий зонд) и</w:t>
      </w:r>
      <w:r>
        <w:t xml:space="preserve"> </w:t>
      </w:r>
      <w:r>
        <w:rPr>
          <w:b/>
        </w:rPr>
        <w:t xml:space="preserve">угловым разнесением</w:t>
      </w:r>
      <w:r>
        <w:t xml:space="preserve"> </w:t>
      </w:r>
      <w:r>
        <w:t xml:space="preserve">(иное направление). Поэтому в независимом пункте формулы область действия арбитра ограничена самозащитной помехой — так признак остаётся неуязвимым.</w:t>
      </w:r>
    </w:p>
    <w:p>
      <w:pPr>
        <w:pStyle w:val="Heading2"/>
      </w:pPr>
      <w:bookmarkStart w:id="27" w:name="связь-с-конвейером-и-формулой"/>
      <w:r>
        <w:t xml:space="preserve">5.6. Связь с конвейером и формулой</w:t>
      </w:r>
      <w:bookmarkEnd w:id="27"/>
    </w:p>
    <w:p>
      <w:pPr>
        <w:pStyle w:val="FirstParagraph"/>
      </w:pPr>
      <w:r>
        <w:t xml:space="preserve">Арбитр замыкает распознавание: гейт (глава 4) отбирает кандидатов и приоритезирует, арбитр (эта глава) ставит окончательную метку по причинности, а результат уходит в целеуказание агильного пучка FM-m (глава 8). В формуле это признак (в) независимого пункта: «метку цель/ложь устанавливают по правилу ближнего по дальности члена причинностной группы (τ ≥ 0)</w:t>
      </w:r>
      <w:r>
        <w:t xml:space="preserve"> </w:t>
      </w:r>
      <w:r>
        <w:rPr>
          <w:b/>
        </w:rPr>
        <w:t xml:space="preserve">и/или</w:t>
      </w:r>
      <w:r>
        <w:t xml:space="preserve"> </w:t>
      </w:r>
      <w:r>
        <w:t xml:space="preserve">согласования с текущим кодом» — оба варианта настоящей главы. Причинность нельзя подделать: противник не ответит кодом, которого ещё не слышал, и не поставит ложную цель ближе истинной.</w:t>
      </w:r>
    </w:p>
    <w:p>
      <w:pPr>
        <w:pStyle w:val="Heading2"/>
      </w:pPr>
      <w:bookmarkStart w:id="28" w:name="робастность-к-движению-цели"/>
      <w:r>
        <w:t xml:space="preserve">5.7. Робастность к движению цели</w:t>
      </w:r>
      <w:bookmarkEnd w:id="28"/>
    </w:p>
    <w:p>
      <w:pPr>
        <w:pStyle w:val="FirstParagraph"/>
      </w:pPr>
      <w:r>
        <w:t xml:space="preserve">Правило переднего края —</w:t>
      </w:r>
      <w:r>
        <w:t xml:space="preserve"> </w:t>
      </w:r>
      <w:r>
        <w:rPr>
          <w:b/>
        </w:rPr>
        <w:t xml:space="preserve">потактовое и мгновенное</w:t>
      </w:r>
      <w:r>
        <w:t xml:space="preserve">: оно про задержку внутри одного измерения, а не про движение между тактами. Отсюда три случая.</w:t>
      </w:r>
    </w:p>
    <w:p>
      <w:pPr>
        <w:pStyle w:val="BodyText"/>
      </w:pPr>
      <w:r>
        <w:rPr>
          <w:b/>
        </w:rPr>
        <w:t xml:space="preserve">Удаление (или сближение) цели.</w:t>
      </w:r>
      <w:r>
        <w:t xml:space="preserve"> </w:t>
      </w:r>
      <w:r>
        <w:t xml:space="preserve">Гребёнку не разворачивает. Внутри каждого такта копии тянутся в бо́льшую дальность (τ ≥ 0), ближний край — истинная цель. Вся группа (истинная + гребёнка) едет по дальности от такта к такту; её ведут трекингом.</w:t>
      </w:r>
    </w:p>
    <w:p>
      <w:pPr>
        <w:pStyle w:val="BodyText"/>
      </w:pPr>
      <w:r>
        <w:rPr>
          <w:b/>
        </w:rPr>
        <w:t xml:space="preserve">Гребёнка «к нам» (уводящая по дальности на упреждение, range-gate pull-in).</w:t>
      </w:r>
      <w:r>
        <w:t xml:space="preserve"> </w:t>
      </w:r>
      <w:r>
        <w:t xml:space="preserve">Внутри импульса невозможна: ближе истинной — значит переизлучить раньше приёма (τ &lt; 0). Между импульсами враг может проиграть</w:t>
      </w:r>
      <w:r>
        <w:t xml:space="preserve"> </w:t>
      </w:r>
      <w:r>
        <w:rPr>
          <w:b/>
        </w:rPr>
        <w:t xml:space="preserve">запомненный прошлый</w:t>
      </w:r>
      <w:r>
        <w:t xml:space="preserve"> </w:t>
      </w:r>
      <w:r>
        <w:t xml:space="preserve">импульс на меньшую дальность, но тот несёт</w:t>
      </w:r>
      <w:r>
        <w:t xml:space="preserve"> </w:t>
      </w:r>
      <w:r>
        <w:rPr>
          <w:b/>
        </w:rPr>
        <w:t xml:space="preserve">устаревший код</w:t>
      </w:r>
      <w:r>
        <w:t xml:space="preserve"> </w:t>
      </w:r>
      <w:r>
        <w:t xml:space="preserve">и в корреляторе не сжимается — снимается свежестью кода (§5.3). Случай, где геометрия одна не справилась бы, закрывает связка с кодом.</w:t>
      </w:r>
    </w:p>
    <w:p>
      <w:pPr>
        <w:pStyle w:val="BodyText"/>
      </w:pPr>
      <w:r>
        <w:rPr>
          <w:b/>
        </w:rPr>
        <w:t xml:space="preserve">Диагональ (движение по дальности и по углу).</w:t>
      </w:r>
      <w:r>
        <w:t xml:space="preserve"> </w:t>
      </w:r>
      <w:r>
        <w:t xml:space="preserve">Потактовое правило держится: ближний край группы — истинная цель, а группа смещается по углу и дальности вместе (для самоприкрытия ретранслятор на носителе цели — тот же угол). Трудность не в принципе, а в когерентной пачке:</w:t>
      </w:r>
      <w:r>
        <w:t xml:space="preserve"> </w:t>
      </w:r>
      <w:r>
        <w:rPr>
          <w:b/>
        </w:rPr>
        <w:t xml:space="preserve">range walk</w:t>
      </w:r>
      <w:r>
        <w:t xml:space="preserve"> </w:t>
      </w:r>
      <w:r>
        <w:t xml:space="preserve">(компенсируется keystone, §3.5) и</w:t>
      </w:r>
      <w:r>
        <w:t xml:space="preserve"> </w:t>
      </w:r>
      <w:r>
        <w:rPr>
          <w:b/>
        </w:rPr>
        <w:t xml:space="preserve">угловая миграция</w:t>
      </w:r>
      <w:r>
        <w:t xml:space="preserve"> </w:t>
      </w:r>
      <w:r>
        <w:t xml:space="preserve">пика по карте (короткий интервал накопления). Гребёнка под иным углом — уже не самоприкрытие, отсекается §5.5.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2026-07-10T13:24:53Z</dcterms:created>
  <dcterms:modified xsi:type="dcterms:W3CDTF">2026-07-10T13:24:53Z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