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04a8ea93dc1af43d61b2af3064873530def10d"/>
      <w:r>
        <w:t xml:space="preserve">Глава 9. Устойчивость к противнику и латентность</w:t>
      </w:r>
      <w:bookmarkEnd w:id="20"/>
    </w:p>
    <w:p>
      <w:pPr>
        <w:pStyle w:val="Heading2"/>
      </w:pPr>
      <w:bookmarkStart w:id="21" w:name="причинность-как-неподделываемый-признак"/>
      <w:r>
        <w:t xml:space="preserve">9.1. Причинность как неподделываемый признак</w:t>
      </w:r>
      <w:bookmarkEnd w:id="21"/>
    </w:p>
    <w:p>
      <w:pPr>
        <w:pStyle w:val="FirstParagraph"/>
      </w:pPr>
      <w:r>
        <w:t xml:space="preserve">Ядро устойчивости — причинность. Противник не ответит кодом, которого ещё не слышал, и не поставит ложную цель ближе истинной (</w:t>
      </w:r>
      <w:r>
        <w:rPr>
          <w:rStyle w:val="VerbatimChar"/>
        </w:rPr>
        <w:t xml:space="preserve">τ ≥ 0</w:t>
      </w:r>
      <w:r>
        <w:t xml:space="preserve">). Передний край (глава 5) и свежесть агильного кода дают признак, который</w:t>
      </w:r>
      <w:r>
        <w:t xml:space="preserve"> </w:t>
      </w:r>
      <w:r>
        <w:rPr>
          <w:b/>
        </w:rPr>
        <w:t xml:space="preserve">нельзя подделать</w:t>
      </w:r>
      <w:r>
        <w:t xml:space="preserve"> </w:t>
      </w:r>
      <w:r>
        <w:t xml:space="preserve">подстройкой мощности или спектра — в отличие от чисто энергетических или статистических критериев, которые адаптивный DRFM обходит.</w:t>
      </w:r>
    </w:p>
    <w:p>
      <w:pPr>
        <w:pStyle w:val="Heading2"/>
      </w:pPr>
      <w:bookmarkStart w:id="22" w:name="анти-затопление-и-латентность"/>
      <w:r>
        <w:t xml:space="preserve">9.2. Анти-затопление и латентность</w:t>
      </w:r>
      <w:bookmarkEnd w:id="22"/>
    </w:p>
    <w:p>
      <w:pPr>
        <w:pStyle w:val="FirstParagraph"/>
      </w:pPr>
      <w:r>
        <w:t xml:space="preserve">DRFM способен залить сцену множеством ложных целей. Латентность ограничивается сверху конструктивно:</w:t>
      </w:r>
      <w:r>
        <w:t xml:space="preserve"> </w:t>
      </w:r>
      <w:r>
        <w:rPr>
          <w:b/>
        </w:rPr>
        <w:t xml:space="preserve">потолок кандидатов</w:t>
      </w:r>
      <w:r>
        <w:rPr>
          <w:b/>
        </w:rPr>
        <w:t xml:space="preserve"> </w:t>
      </w:r>
      <w:r>
        <w:rPr>
          <w:rStyle w:val="VerbatimChar"/>
          <w:b/>
        </w:rPr>
        <w:t xml:space="preserve">K_max</w:t>
      </w:r>
      <w:r>
        <w:t xml:space="preserve"> </w:t>
      </w:r>
      <w:r>
        <w:t xml:space="preserve">(обозначение отдельно от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гипотез задержки гл.6) плюс приоритет обработки по</w:t>
      </w:r>
      <w:r>
        <w:t xml:space="preserve"> </w:t>
      </w:r>
      <w:r>
        <w:rPr>
          <w:b/>
        </w:rPr>
        <w:t xml:space="preserve">инвариантному скору токена</w:t>
      </w:r>
      <w:r>
        <w:t xml:space="preserve"> </w:t>
      </w:r>
      <w:r>
        <w:t xml:space="preserve">(глава 4). Обрабатываются первые</w:t>
      </w:r>
      <w:r>
        <w:t xml:space="preserve"> </w:t>
      </w:r>
      <w:r>
        <w:rPr>
          <w:rStyle w:val="VerbatimChar"/>
        </w:rPr>
        <w:t xml:space="preserve">K_max</w:t>
      </w:r>
      <w:r>
        <w:t xml:space="preserve"> </w:t>
      </w:r>
      <w:r>
        <w:t xml:space="preserve">кандидатов по приоритету, остальное отбрасывается — цикл «обнаружил → зондировал» остаётся ограниченным по времени независимо от плотности помех.</w:t>
      </w:r>
    </w:p>
    <w:p>
      <w:pPr>
        <w:pStyle w:val="Heading2"/>
      </w:pPr>
      <w:bookmarkStart w:id="23" w:name="устойчивое-обнаружение-cfar"/>
      <w:r>
        <w:t xml:space="preserve">9.3. Устойчивое обнаружение (CFAR)</w:t>
      </w:r>
      <w:bookmarkEnd w:id="23"/>
    </w:p>
    <w:p>
      <w:pPr>
        <w:pStyle w:val="FirstParagraph"/>
      </w:pPr>
      <w:r>
        <w:t xml:space="preserve">Против гребёнки и RFI —</w:t>
      </w:r>
      <w:r>
        <w:t xml:space="preserve"> </w:t>
      </w:r>
      <w:r>
        <w:rPr>
          <w:b/>
        </w:rPr>
        <w:t xml:space="preserve">CFAR порядковой статистики (OS-CFAR)</w:t>
      </w:r>
      <w:r>
        <w:t xml:space="preserve">, локальный, по угловой координате. Он устойчив к множественным помеховым отметкам в окне, тогда как усредняющий CA-CFAR гребёнка «поднимает» по фону и глушит истинную цель.</w:t>
      </w:r>
    </w:p>
    <w:p>
      <w:pPr>
        <w:pStyle w:val="Heading2"/>
      </w:pPr>
      <w:bookmarkStart w:id="24" w:name="заградительный-шум-тоже-наблюдаем"/>
      <w:r>
        <w:t xml:space="preserve">9.4. Заградительный шум — тоже наблюдаем</w:t>
      </w:r>
      <w:bookmarkEnd w:id="24"/>
    </w:p>
    <w:p>
      <w:pPr>
        <w:pStyle w:val="FirstParagraph"/>
      </w:pPr>
      <w:r>
        <w:t xml:space="preserve">Заградительную (шумовую по полосе) помеху мы не просто терпим — мы её</w:t>
      </w:r>
      <w:r>
        <w:t xml:space="preserve"> </w:t>
      </w:r>
      <w:r>
        <w:rPr>
          <w:b/>
        </w:rPr>
        <w:t xml:space="preserve">видим и используем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Обнаружение.</w:t>
      </w:r>
      <w:r>
        <w:t xml:space="preserve"> </w:t>
      </w:r>
      <w:r>
        <w:t xml:space="preserve">После дечирпа шум не сжимается в дальностный тон, а поднимает фон по дальности; из своего углового сектора он даёт в гейте (глава 4) класс «размазанный» с характерными признаками (PR — десятки, MainFrac ~0.4, LobeRatio ~0.25), отделимыми и от цели (PR ~3.6), и от белого шума (PR ~128). Направление заградки известно из угловой карты.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Не подтверждается как цель.</w:t>
      </w:r>
      <w:r>
        <w:t xml:space="preserve"> </w:t>
      </w:r>
      <w:r>
        <w:t xml:space="preserve">В опросе FM-m шум не даёт код-согласованного пика — давится процессным усилением ~10·log₁₀(L) дБ; заградка не проходит арбитр как цель.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Пеленг в пользу.</w:t>
      </w:r>
      <w:r>
        <w:t xml:space="preserve"> </w:t>
      </w:r>
      <w:r>
        <w:t xml:space="preserve">Зная угловой сектор заградки, при целеуказании его деприоритизируют/обходят, а сам пеленг постановщика — полезный выход (angle of arrival). OS-CFAR (§9.3) держит порог при поднятом фоне.</w:t>
      </w:r>
    </w:p>
    <w:p>
      <w:pPr>
        <w:pStyle w:val="Heading2"/>
      </w:pPr>
      <w:bookmarkStart w:id="25" w:name="итог"/>
      <w:r>
        <w:t xml:space="preserve">9.5. Итог</w:t>
      </w:r>
      <w:bookmarkEnd w:id="25"/>
    </w:p>
    <w:p>
      <w:pPr>
        <w:pStyle w:val="FirstParagraph"/>
      </w:pPr>
      <w:r>
        <w:t xml:space="preserve">Устойчивость строится на</w:t>
      </w:r>
      <w:r>
        <w:t xml:space="preserve"> </w:t>
      </w:r>
      <w:r>
        <w:rPr>
          <w:b/>
        </w:rPr>
        <w:t xml:space="preserve">физике</w:t>
      </w:r>
      <w:r>
        <w:t xml:space="preserve"> </w:t>
      </w:r>
      <w:r>
        <w:t xml:space="preserve">(причинность), а не только на статистике: противник может подтолкнуть энергетические признаки, но не причинностный передний край и не непредсказуемый код. Латентность ограничена конструктивно (</w:t>
      </w:r>
      <w:r>
        <w:rPr>
          <w:rStyle w:val="VerbatimChar"/>
        </w:rPr>
        <w:t xml:space="preserve">K_max</w:t>
      </w:r>
      <w:r>
        <w:t xml:space="preserve"> </w:t>
      </w:r>
      <w:r>
        <w:t xml:space="preserve">+ приоритет по скору), что и требуется для когнитивного режима реального времени.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2026-07-10T13:24:53Z</dcterms:created>
  <dcterms:modified xsi:type="dcterms:W3CDTF">2026-07-10T13:24:53Z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