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формула-изобретения-рабочая-редакция"/>
      <w:r>
        <w:t xml:space="preserve">Формула изобретения (рабочая редакция)</w:t>
      </w:r>
      <w:bookmarkEnd w:id="20"/>
    </w:p>
    <w:p>
      <w:pPr>
        <w:pStyle w:val="BlockText"/>
      </w:pPr>
      <w:r>
        <w:t xml:space="preserve">Якорь документа. Описание (главы 3–9) обязано поддерживать каждый признак формулы.</w:t>
      </w:r>
      <w:r>
        <w:t xml:space="preserve"> </w:t>
      </w:r>
      <w:r>
        <w:t xml:space="preserve">Финальную редакцию визирует патентный поверенный; ниже — инженерный каркас под экспертизу.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независимый-пункт-1-способ"/>
      <w:r>
        <w:t xml:space="preserve">Независимый пункт 1 (способ)</w:t>
      </w:r>
      <w:bookmarkEnd w:id="21"/>
    </w:p>
    <w:p>
      <w:pPr>
        <w:pStyle w:val="FirstParagraph"/>
      </w:pPr>
      <w:r>
        <w:rPr>
          <w:b/>
        </w:rPr>
        <w:t xml:space="preserve">Ограничительная часть.</w:t>
      </w:r>
      <w:r>
        <w:t xml:space="preserve"> </w:t>
      </w:r>
      <w:r>
        <w:t xml:space="preserve">Способ распознавания истинной цели на фоне самоприкрывающей ретрансляционной помехи и целеуказания в моностатическом радаре с активной фазированной антенной решёткой, включающий излучение зондирующего сигнала, приём отражённого сигнала элементами решётки, преобразование Фурье принятого сигнала и обнаружение целей,</w:t>
      </w:r>
    </w:p>
    <w:p>
      <w:pPr>
        <w:pStyle w:val="BodyText"/>
      </w:pPr>
      <w:r>
        <w:rPr>
          <w:b/>
        </w:rPr>
        <w:t xml:space="preserve">Отличительная часть —</w:t>
      </w:r>
      <w:r>
        <w:t xml:space="preserve"> </w:t>
      </w:r>
      <w:r>
        <w:t xml:space="preserve">отличающийся тем, что за каждый рабочий такт:</w:t>
      </w:r>
    </w:p>
    <w:p>
      <w:pPr>
        <w:pStyle w:val="BodyText"/>
      </w:pPr>
      <w:r>
        <w:rPr>
          <w:b/>
        </w:rPr>
        <w:t xml:space="preserve">(а)</w:t>
      </w:r>
      <w:r>
        <w:t xml:space="preserve"> </w:t>
      </w:r>
      <w:r>
        <w:t xml:space="preserve">излучают широкий линейно-частотно-модулированный (ЛЧМ) зондирующий сигнал; принятый сигнал подвергают гетеродинному сжатию (дечирпу), получая N комплексных отсчётов, где N — переменная за такт величина; и формируют массив данных апертура×апертура×дальность размерности n×n×N (в частности 16×16×N) посредством</w:t>
      </w:r>
      <w:r>
        <w:t xml:space="preserve"> </w:t>
      </w:r>
      <w:r>
        <w:rPr>
          <w:b/>
        </w:rPr>
        <w:t xml:space="preserve">двух раздельных преобразований Фурье</w:t>
      </w:r>
      <w:r>
        <w:t xml:space="preserve"> </w:t>
      </w:r>
      <w:r>
        <w:t xml:space="preserve">— глобального дальностного преобразования по оси быстрого времени и поячеечного углового преобразования 16×16 на каждом бине дальности;</w:t>
      </w:r>
    </w:p>
    <w:p>
      <w:pPr>
        <w:pStyle w:val="BodyText"/>
      </w:pPr>
      <w:r>
        <w:rPr>
          <w:b/>
        </w:rPr>
        <w:t xml:space="preserve">(б)</w:t>
      </w:r>
      <w:r>
        <w:t xml:space="preserve"> </w:t>
      </w:r>
      <w:r>
        <w:t xml:space="preserve">для каждого среза дальности заменяют полную угловую карту</w:t>
      </w:r>
      <w:r>
        <w:t xml:space="preserve"> </w:t>
      </w:r>
      <w:r>
        <w:rPr>
          <w:b/>
        </w:rPr>
        <w:t xml:space="preserve">структурным токеном</w:t>
      </w:r>
      <w:r>
        <w:t xml:space="preserve">, содержащим массив ограниченного числа наиболее ярких угловых пиков с их координатами и амплитудами и вектор</w:t>
      </w:r>
      <w:r>
        <w:t xml:space="preserve"> </w:t>
      </w:r>
      <w:r>
        <w:rPr>
          <w:b/>
        </w:rPr>
        <w:t xml:space="preserve">инвариантных к расщеплению (страддлу) признаков</w:t>
      </w:r>
      <w:r>
        <w:t xml:space="preserve"> </w:t>
      </w:r>
      <w:r>
        <w:t xml:space="preserve">распределения энергии;</w:t>
      </w:r>
    </w:p>
    <w:p>
      <w:pPr>
        <w:pStyle w:val="BodyText"/>
      </w:pPr>
      <w:r>
        <w:rPr>
          <w:b/>
        </w:rPr>
        <w:t xml:space="preserve">(в)</w:t>
      </w:r>
      <w:r>
        <w:t xml:space="preserve"> </w:t>
      </w:r>
      <w:r>
        <w:t xml:space="preserve">классификатором относят срез к классу состояния, причём классификатор выполняет функцию</w:t>
      </w:r>
      <w:r>
        <w:t xml:space="preserve"> </w:t>
      </w:r>
      <w:r>
        <w:rPr>
          <w:b/>
        </w:rPr>
        <w:t xml:space="preserve">гейта</w:t>
      </w:r>
      <w:r>
        <w:t xml:space="preserve">, а принадлежность отклика истинной либо ложной цели устанавливают</w:t>
      </w:r>
      <w:r>
        <w:t xml:space="preserve"> </w:t>
      </w:r>
      <w:r>
        <w:rPr>
          <w:b/>
        </w:rPr>
        <w:t xml:space="preserve">причинностным арбитром</w:t>
      </w:r>
      <w:r>
        <w:t xml:space="preserve"> </w:t>
      </w:r>
      <w:r>
        <w:t xml:space="preserve">— по признаку ближнего по дальности члена причинностной группы (правило переднего края, τ ≥ 0) и/или согласования отклика с текущим кодом зондирования;</w:t>
      </w:r>
    </w:p>
    <w:p>
      <w:pPr>
        <w:pStyle w:val="BodyText"/>
      </w:pPr>
      <w:r>
        <w:rPr>
          <w:b/>
        </w:rPr>
        <w:t xml:space="preserve">(г)</w:t>
      </w:r>
      <w:r>
        <w:t xml:space="preserve"> </w:t>
      </w:r>
      <w:r>
        <w:t xml:space="preserve">по совокупности токенов (матрице токенов) формируют целеуказание и излучают в выбранное направление точечный фазоманипулированный зондирующий сигнал (FM-m) с</w:t>
      </w:r>
      <w:r>
        <w:t xml:space="preserve"> </w:t>
      </w:r>
      <w:r>
        <w:rPr>
          <w:b/>
        </w:rPr>
        <w:t xml:space="preserve">агильным кодом переменной длины 2ⁿ</w:t>
      </w:r>
      <w:r>
        <w:t xml:space="preserve">, дополняемой нулями до размера преобразования Фурье, причём код меняется от такта к такту.</w:t>
      </w:r>
    </w:p>
    <w:p>
      <w:pPr>
        <w:pStyle w:val="BodyText"/>
      </w:pPr>
      <w:r>
        <w:rPr>
          <w:b/>
        </w:rPr>
        <w:t xml:space="preserve">Ядро новизны — совокупность (а)+(б)+(в)+(г):</w:t>
      </w:r>
      <w:r>
        <w:t xml:space="preserve"> </w:t>
      </w:r>
      <w:r>
        <w:t xml:space="preserve">агильная длина кода → страддл-инвариантный токен → ИИ-гейт с физическим арбитром → целеуказание агильного пучка из матрицы токенов.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зависимые-пункты-способ"/>
      <w:r>
        <w:t xml:space="preserve">Зависимые пункты (способ)</w:t>
      </w:r>
      <w:bookmarkEnd w:id="22"/>
    </w:p>
    <w:p>
      <w:pPr>
        <w:pStyle w:val="FirstParagraph"/>
      </w:pPr>
      <w:r>
        <w:rPr>
          <w:b/>
        </w:rPr>
        <w:t xml:space="preserve">п.2.</w:t>
      </w:r>
      <w:r>
        <w:t xml:space="preserve"> </w:t>
      </w:r>
      <w:r>
        <w:t xml:space="preserve">Способ по п.1, отличающийся тем, что вектор признаков включает пиковое отношение PR = (Σpᵢ)²/Σpᵢ², меру разреженности Хойера, долю энергии главного лепестка в окне 3×3 и интегральное отношение главного лепестка к боковым; pᵢ = |Aᵢ|².</w:t>
      </w:r>
    </w:p>
    <w:p>
      <w:pPr>
        <w:pStyle w:val="BodyText"/>
      </w:pPr>
      <w:r>
        <w:rPr>
          <w:b/>
        </w:rPr>
        <w:t xml:space="preserve">п.3.</w:t>
      </w:r>
      <w:r>
        <w:t xml:space="preserve"> </w:t>
      </w:r>
      <w:r>
        <w:t xml:space="preserve">Способ по п.1, отличающийся тем, что структурный токен содержит до пяти наиболее ярких пиков, каждый из которых задан угловыми координатами (kx, ky), амплитудой и признаком кромки; массив пиков упорядочен по углу, а сборка токенов ведётся по дальности.</w:t>
      </w:r>
    </w:p>
    <w:p>
      <w:pPr>
        <w:pStyle w:val="BodyText"/>
      </w:pPr>
      <w:r>
        <w:rPr>
          <w:b/>
        </w:rPr>
        <w:t xml:space="preserve">п.4.</w:t>
      </w:r>
      <w:r>
        <w:t xml:space="preserve"> </w:t>
      </w:r>
      <w:r>
        <w:t xml:space="preserve">Способ по п.1, отличающийся тем, что причинностный арбитр применяют в области</w:t>
      </w:r>
      <w:r>
        <w:t xml:space="preserve"> </w:t>
      </w:r>
      <w:r>
        <w:rPr>
          <w:b/>
        </w:rPr>
        <w:t xml:space="preserve">самозащитной (самоприкрывающей) помехи</w:t>
      </w:r>
      <w:r>
        <w:t xml:space="preserve">, а уводящую помеху на ином носителе разделяют по свежести кода зондирования и угловому разнесению.</w:t>
      </w:r>
    </w:p>
    <w:p>
      <w:pPr>
        <w:pStyle w:val="BodyText"/>
      </w:pPr>
      <w:r>
        <w:rPr>
          <w:b/>
        </w:rPr>
        <w:t xml:space="preserve">п.5.</w:t>
      </w:r>
      <w:r>
        <w:t xml:space="preserve"> </w:t>
      </w:r>
      <w:r>
        <w:t xml:space="preserve">Способ по п.1, отличающийся тем, что корреляцию с кодом зондирования выполняют через быстрое преобразование Фурье по K сопряжённым опорам текущего кода (K — число гипотез задержки, гл.6): corr = IFFT(conj(FFT(ref))·FFT(inp)), с батчингом по свободной памяти графического процессора.</w:t>
      </w:r>
    </w:p>
    <w:p>
      <w:pPr>
        <w:pStyle w:val="BodyText"/>
      </w:pPr>
      <w:r>
        <w:rPr>
          <w:b/>
        </w:rPr>
        <w:t xml:space="preserve">п.6.</w:t>
      </w:r>
      <w:r>
        <w:t xml:space="preserve"> </w:t>
      </w:r>
      <w:r>
        <w:t xml:space="preserve">Способ по п.5, отличающийся тем, что на выходе обратного преобразования Фурье коррелятора формируют вторичный набор токенов из 3–5 наибольших значений отклика, сокращая объём передаваемых на дальнейшую обработку данных.</w:t>
      </w:r>
    </w:p>
    <w:p>
      <w:pPr>
        <w:pStyle w:val="BodyText"/>
      </w:pPr>
      <w:r>
        <w:rPr>
          <w:b/>
        </w:rPr>
        <w:t xml:space="preserve">п.7.</w:t>
      </w:r>
      <w:r>
        <w:t xml:space="preserve"> </w:t>
      </w:r>
      <w:r>
        <w:t xml:space="preserve">Способ по п.1, отличающийся тем, что на трудных кандидатах с нерегулярной структурой (рваная гребёнка, дрожащая задержка, наложенные отклики) дополнительно применяют</w:t>
      </w:r>
      <w:r>
        <w:t xml:space="preserve"> </w:t>
      </w:r>
      <w:r>
        <w:rPr>
          <w:b/>
        </w:rPr>
        <w:t xml:space="preserve">резидентную последовательностную нейронную сеть</w:t>
      </w:r>
      <w:r>
        <w:t xml:space="preserve"> </w:t>
      </w:r>
      <w:r>
        <w:t xml:space="preserve">(рекуррентную, LSTM/GRU) над потоком токенов области интереса вдоль дальности, которая уточняет угол и тонкую дальность кандидата, после чего решение подтверждают код-корреляцией FM-m. Альтернативная реализация — объёмная нейронная сеть на сыром патче 16×16×(32/64/256).</w:t>
      </w:r>
    </w:p>
    <w:p>
      <w:pPr>
        <w:pStyle w:val="BodyText"/>
      </w:pPr>
      <w:r>
        <w:rPr>
          <w:b/>
        </w:rPr>
        <w:t xml:space="preserve">п.8.</w:t>
      </w:r>
      <w:r>
        <w:t xml:space="preserve"> </w:t>
      </w:r>
      <w:r>
        <w:t xml:space="preserve">Способ по п.1, отличающийся тем, что устойчивое обнаружение на угловой карте выполняют посредством CFAR порядковой статистики (OS-CFAR) по угловой координате.</w:t>
      </w:r>
    </w:p>
    <w:p>
      <w:pPr>
        <w:pStyle w:val="BodyText"/>
      </w:pPr>
      <w:r>
        <w:rPr>
          <w:b/>
        </w:rPr>
        <w:t xml:space="preserve">п.9.</w:t>
      </w:r>
      <w:r>
        <w:t xml:space="preserve"> </w:t>
      </w:r>
      <w:r>
        <w:t xml:space="preserve">Способ по п.1, отличающийся тем, что формирование углового среза, свёртку среза в токен и классификацию-гейт выполняют</w:t>
      </w:r>
      <w:r>
        <w:t xml:space="preserve"> </w:t>
      </w:r>
      <w:r>
        <w:rPr>
          <w:b/>
        </w:rPr>
        <w:t xml:space="preserve">целиком в быстрой внутрикристальной памяти графического процессора (памяти рабочей группы, LDS)</w:t>
      </w:r>
      <w:r>
        <w:t xml:space="preserve"> </w:t>
      </w:r>
      <w:r>
        <w:t xml:space="preserve">без выгрузки промежуточных данных во внешнюю память, а поячеечное угловое преобразование 16×16 вычисляют на</w:t>
      </w:r>
      <w:r>
        <w:t xml:space="preserve"> </w:t>
      </w:r>
      <w:r>
        <w:rPr>
          <w:b/>
        </w:rPr>
        <w:t xml:space="preserve">матричных (тензорных) вычислительных блоках</w:t>
      </w:r>
      <w:r>
        <w:t xml:space="preserve">; размерность 16×16 обеспечивает размещение среза в памяти рабочей группы и матричное вычисление.</w:t>
      </w:r>
      <w:r>
        <w:t xml:space="preserve"> </w:t>
      </w:r>
      <w:r>
        <w:t xml:space="preserve">&gt; Технический эффект (в описание, не в пункт): совмещение формирования, токенизации и классификации в памяти рабочей группы устраняет обмены с внешней памятью, а тензорное вычисление 16×16 даёт выигрыш по скорости на порядки — это опора приоритета «скорость обработки».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независимый-пункт-10-устройство"/>
      <w:r>
        <w:t xml:space="preserve">Независимый пункт 10 (устройство)</w:t>
      </w:r>
      <w:bookmarkEnd w:id="23"/>
    </w:p>
    <w:p>
      <w:pPr>
        <w:pStyle w:val="FirstParagraph"/>
      </w:pPr>
      <w:r>
        <w:t xml:space="preserve">Устройство распознавания истинной цели и целеуказания, содержащее активную фазированную антенную решётку, аналого-цифровой тракт с гетеродинным сжатием (дечирпом) и вычислитель на графическом процессоре,</w:t>
      </w:r>
      <w:r>
        <w:t xml:space="preserve"> </w:t>
      </w:r>
      <w:r>
        <w:rPr>
          <w:b/>
        </w:rPr>
        <w:t xml:space="preserve">отличающееся тем, что</w:t>
      </w:r>
      <w:r>
        <w:t xml:space="preserve"> </w:t>
      </w:r>
      <w:r>
        <w:t xml:space="preserve">вычислитель выполнен с возможностью:</w:t>
      </w:r>
      <w:r>
        <w:t xml:space="preserve"> </w:t>
      </w:r>
      <w:r>
        <w:t xml:space="preserve">- формирования массива n×n×N (в частности 16×16) двумя раздельными преобразованиями Фурье (дальностным и поячеечным угловым);</w:t>
      </w:r>
      <w:r>
        <w:t xml:space="preserve"> </w:t>
      </w:r>
      <w:r>
        <w:t xml:space="preserve">- свёртки каждого среза дальности в структурный токен из инвариантных к расщеплению признаков распределения энергии;</w:t>
      </w:r>
      <w:r>
        <w:t xml:space="preserve"> </w:t>
      </w:r>
      <w:r>
        <w:t xml:space="preserve">- классификации-гейта срезов и причинностного арбитража «истинная/ложная цель» по правилу ближнего края (τ ≥ 0) и/или согласования с текущим кодом;</w:t>
      </w:r>
      <w:r>
        <w:t xml:space="preserve"> </w:t>
      </w:r>
      <w:r>
        <w:t xml:space="preserve">и содержащее</w:t>
      </w:r>
      <w:r>
        <w:t xml:space="preserve"> </w:t>
      </w:r>
      <w:r>
        <w:rPr>
          <w:b/>
        </w:rPr>
        <w:t xml:space="preserve">формирователь агильного фазоманипулированного зондирующего сигнала</w:t>
      </w:r>
      <w:r>
        <w:t xml:space="preserve"> </w:t>
      </w:r>
      <w:r>
        <w:t xml:space="preserve">переменной длины 2ⁿ, управляемый по матрице токенов для целеуказания.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зависимые-пункты-устройство"/>
      <w:r>
        <w:t xml:space="preserve">Зависимые пункты (устройство)</w:t>
      </w:r>
      <w:bookmarkEnd w:id="24"/>
    </w:p>
    <w:p>
      <w:pPr>
        <w:pStyle w:val="FirstParagraph"/>
      </w:pPr>
      <w:r>
        <w:rPr>
          <w:b/>
        </w:rPr>
        <w:t xml:space="preserve">п.11.</w:t>
      </w:r>
      <w:r>
        <w:t xml:space="preserve"> </w:t>
      </w:r>
      <w:r>
        <w:t xml:space="preserve">Устройство по п.10, отличающееся тем, что формирователь строит код переменной длины от 2⁸ до 2²⁰, меняющийся от такта к такту.</w:t>
      </w:r>
    </w:p>
    <w:p>
      <w:pPr>
        <w:pStyle w:val="BodyText"/>
      </w:pPr>
      <w:r>
        <w:rPr>
          <w:b/>
        </w:rPr>
        <w:t xml:space="preserve">п.12.</w:t>
      </w:r>
      <w:r>
        <w:t xml:space="preserve"> </w:t>
      </w:r>
      <w:r>
        <w:t xml:space="preserve">Устройство по п.10, отличающееся тем, что вычислитель реализует коррелятор на библиотеке hipFFT/ROCm с двухпоточным конвейером (эталон и вход) и батчингом по свободной памяти.</w:t>
      </w:r>
    </w:p>
    <w:p>
      <w:pPr>
        <w:pStyle w:val="BodyText"/>
      </w:pPr>
      <w:r>
        <w:rPr>
          <w:b/>
        </w:rPr>
        <w:t xml:space="preserve">п.13.</w:t>
      </w:r>
      <w:r>
        <w:t xml:space="preserve"> </w:t>
      </w:r>
      <w:r>
        <w:t xml:space="preserve">Устройство по п.10, отличающееся тем, что вычислитель выполняет угловое преобразование 16×16 и классификацию-гейт в памяти рабочей группы на матричных (тензорных) блоках графического процессора.</w:t>
      </w:r>
    </w:p>
    <w:p>
      <w:pPr>
        <w:pStyle w:val="BodyText"/>
      </w:pPr>
      <w:r>
        <w:rPr>
          <w:b/>
        </w:rPr>
        <w:t xml:space="preserve">п.14.</w:t>
      </w:r>
      <w:r>
        <w:t xml:space="preserve"> </w:t>
      </w:r>
      <w:r>
        <w:t xml:space="preserve">Устройство по п.10, отличающееся тем, что содержит канал широкого ЛЧМ-обзора для грубого целеуказания, гейтящего точечный фазоманипулированный зонд.</w:t>
      </w:r>
    </w:p>
    <w:p>
      <w:pPr>
        <w:pStyle w:val="BodyText"/>
      </w:pPr>
      <w:r>
        <w:rPr>
          <w:b/>
        </w:rPr>
        <w:t xml:space="preserve">п.14а.</w:t>
      </w:r>
      <w:r>
        <w:t xml:space="preserve"> </w:t>
      </w:r>
      <w:r>
        <w:t xml:space="preserve">Устройство по п.10, отличающееся тем, что вычислитель содержит резидентную последовательностную нейронную сеть (LSTM/GRU), выполненную с возможностью уточнения угла и тонкой дальности трудного кандидата по потоку токенов области интереса (зеркало п.7 способа).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3d754f7df7c11645d773e95d552ab7bcb1153c1"/>
      <w:r>
        <w:t xml:space="preserve">Дополнительные зависимые пункты (унифицированный объёмный примитив)</w:t>
      </w:r>
      <w:bookmarkEnd w:id="25"/>
    </w:p>
    <w:p>
      <w:pPr>
        <w:pStyle w:val="FirstParagraph"/>
      </w:pPr>
      <w:r>
        <w:rPr>
          <w:b/>
        </w:rPr>
        <w:t xml:space="preserve">п.15.</w:t>
      </w:r>
      <w:r>
        <w:t xml:space="preserve"> </w:t>
      </w:r>
      <w:r>
        <w:t xml:space="preserve">Способ по п.1, отличающийся тем, что токен формируют из объёмного участка «апертура×апертура×дальность» размера n×n×L (в частности 16×16) произвольного размера и положения посредством трёхмерного преобразования Фурье и трёхмерного порогового обнаружения (OS-CFAR по объёму) с объёмными признаками (главный лепесток 3×3×3, охранная зона 5×5×5), причём фронтенд грубого амплитудно-модулированного присутствия (скользящее объёмное преобразование переменного шага) и дальностно-разрешённый ЛЧМ-тракт формируют</w:t>
      </w:r>
      <w:r>
        <w:t xml:space="preserve"> </w:t>
      </w:r>
      <w:r>
        <w:rPr>
          <w:b/>
        </w:rPr>
        <w:t xml:space="preserve">один и тот же токен</w:t>
      </w:r>
      <w:r>
        <w:t xml:space="preserve">; двумерная токенизация — частный случай при L=1.</w:t>
      </w:r>
    </w:p>
    <w:p>
      <w:pPr>
        <w:pStyle w:val="BodyText"/>
      </w:pPr>
      <w:r>
        <w:rPr>
          <w:b/>
        </w:rPr>
        <w:t xml:space="preserve">п.16.</w:t>
      </w:r>
      <w:r>
        <w:t xml:space="preserve"> </w:t>
      </w:r>
      <w:r>
        <w:t xml:space="preserve">Устройство по п.10, отличающееся тем, что блок токенизации выполнен с возможностью формирования токена из объёмного участка n×n×L (в частности 16×16) произвольного размера и положения трёхмерным преобразованием Фурье и трёхмерным пороговым обнаружением в памяти рабочей группы, единообразно для данных амплитудно-модулированного присутствия и ЛЧМ-тракта.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X3155ce3108113a5b131218c922402cfa00de87f"/>
      <w:r>
        <w:t xml:space="preserve">Карта «признак формулы → уровень техники» (для поверенного)</w:t>
      </w:r>
      <w:bookmarkEnd w:id="26"/>
    </w:p>
    <w:p>
      <w:pPr>
        <w:numPr>
          <w:ilvl w:val="0"/>
          <w:numId w:val="1001"/>
        </w:numPr>
        <w:pStyle w:val="Compact"/>
      </w:pPr>
      <w:r>
        <w:t xml:space="preserve">(а) два FFT дальность/угол по бинам — близко:</w:t>
      </w:r>
      <w:r>
        <w:t xml:space="preserve"> </w:t>
      </w:r>
      <w:r>
        <w:rPr>
          <w:b/>
        </w:rPr>
        <w:t xml:space="preserve">EP0097490A2</w:t>
      </w:r>
      <w:r>
        <w:t xml:space="preserve">,</w:t>
      </w:r>
      <w:r>
        <w:t xml:space="preserve"> </w:t>
      </w:r>
      <w:r>
        <w:rPr>
          <w:b/>
        </w:rPr>
        <w:t xml:space="preserve">CN101441271A</w:t>
      </w:r>
      <w:r>
        <w:t xml:space="preserve"> </w:t>
      </w:r>
      <w:r>
        <w:t xml:space="preserve">(GPU-SAR). Новизна не в самих двух FFT.</w:t>
      </w:r>
    </w:p>
    <w:p>
      <w:pPr>
        <w:numPr>
          <w:ilvl w:val="0"/>
          <w:numId w:val="1001"/>
        </w:numPr>
        <w:pStyle w:val="Compact"/>
      </w:pPr>
      <w:r>
        <w:t xml:space="preserve">(б)+(в) ИИ-классификатор на радарном кубе — близко:</w:t>
      </w:r>
      <w:r>
        <w:t xml:space="preserve"> </w:t>
      </w:r>
      <w:r>
        <w:rPr>
          <w:b/>
        </w:rPr>
        <w:t xml:space="preserve">US10962637B2</w:t>
      </w:r>
      <w:r>
        <w:t xml:space="preserve">,</w:t>
      </w:r>
      <w:r>
        <w:t xml:space="preserve"> </w:t>
      </w:r>
      <w:r>
        <w:rPr>
          <w:b/>
        </w:rPr>
        <w:t xml:space="preserve">US12181562</w:t>
      </w:r>
      <w:r>
        <w:t xml:space="preserve">. Отличие — токен из страддл-инвариантных признаков + гейт/арбитр, а не end-to-end сеть.</w:t>
      </w:r>
    </w:p>
    <w:p>
      <w:pPr>
        <w:numPr>
          <w:ilvl w:val="0"/>
          <w:numId w:val="1001"/>
        </w:numPr>
        <w:pStyle w:val="Compact"/>
      </w:pPr>
      <w:r>
        <w:t xml:space="preserve">(г) целеуказание/планирование пучка ИИ — близко:</w:t>
      </w:r>
      <w:r>
        <w:t xml:space="preserve"> </w:t>
      </w:r>
      <w:r>
        <w:rPr>
          <w:b/>
        </w:rPr>
        <w:t xml:space="preserve">US11747438</w:t>
      </w:r>
      <w:r>
        <w:t xml:space="preserve">. Отличие — управление именно агильным FM-m из матрицы токенов.</w:t>
      </w:r>
    </w:p>
    <w:p>
      <w:pPr>
        <w:numPr>
          <w:ilvl w:val="0"/>
          <w:numId w:val="1001"/>
        </w:numPr>
        <w:pStyle w:val="Compact"/>
      </w:pPr>
      <w:r>
        <w:t xml:space="preserve">Прототип:</w:t>
      </w:r>
      <w:r>
        <w:t xml:space="preserve"> </w:t>
      </w:r>
      <w:r>
        <w:rPr>
          <w:b/>
        </w:rPr>
        <w:t xml:space="preserve">RU2549375C1</w:t>
      </w:r>
      <w:r>
        <w:t xml:space="preserve"> </w:t>
      </w:r>
      <w:r>
        <w:t xml:space="preserve">(два канала + корреляция, без структурного различителя цель/ложь).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Вывод для защиты:</w:t>
      </w:r>
      <w:r>
        <w:t xml:space="preserve"> </w:t>
      </w:r>
      <w:r>
        <w:t xml:space="preserve">новизна держится на СОВОКУПНОСТИ (а)+(б)+(в)+(г); дробление пунктов недопустимо — каждый элемент по отдельности бьётся уровнем техники.</w:t>
      </w:r>
    </w:p>
    <w:p>
      <w:pPr>
        <w:pStyle w:val="Heading2"/>
      </w:pPr>
      <w:bookmarkStart w:id="27" w:name="решения-и-статус"/>
      <w:r>
        <w:t xml:space="preserve">Решения и статус</w:t>
      </w:r>
      <w:bookmarkEnd w:id="27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Патентная чистота</w:t>
      </w:r>
      <w:r>
        <w:t xml:space="preserve"> </w:t>
      </w:r>
      <w:r>
        <w:t xml:space="preserve">(классы G01S 7/36, 7/292, 7/41, 7/38, 7/2813; H04K 3/22, 3/25) — Алекс ведёт дополнительный патентный поиск параллельно; мы реализуем план, не дожидаясь.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Достаточность раскрытия (enablement)</w:t>
      </w:r>
      <w:r>
        <w:t xml:space="preserve"> </w:t>
      </w:r>
      <w:r>
        <w:t xml:space="preserve">— раскрываем</w:t>
      </w:r>
      <w:r>
        <w:t xml:space="preserve"> </w:t>
      </w:r>
      <w:r>
        <w:rPr>
          <w:b/>
        </w:rPr>
        <w:t xml:space="preserve">полно</w:t>
      </w:r>
      <w:r>
        <w:t xml:space="preserve">: перечень страддл-инвариантных признаков, токен, арбитр, on-chip/тензорная обработка описываются в главах 3–6 без сокрытия (если не патент — то статья, а ей полнота нужна).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Единство изобретения</w:t>
      </w:r>
      <w:r>
        <w:t xml:space="preserve"> </w:t>
      </w:r>
      <w:r>
        <w:t xml:space="preserve">— рассматриваем</w:t>
      </w:r>
      <w:r>
        <w:t xml:space="preserve"> </w:t>
      </w:r>
      <w:r>
        <w:rPr>
          <w:b/>
        </w:rPr>
        <w:t xml:space="preserve">раздельно три трека</w:t>
      </w:r>
      <w:r>
        <w:t xml:space="preserve">: способ, устройство, статья (отдельные документы/заявки).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2026-07-10T13:24:53Z</dcterms:created>
  <dcterms:modified xsi:type="dcterms:W3CDTF">2026-07-10T13:24:53Z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