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ЗАЯВКА</w:t>
      </w:r>
      <w:r>
        <w:t xml:space="preserve"> </w:t>
      </w:r>
      <w:r>
        <w:t xml:space="preserve">НА</w:t>
      </w:r>
      <w:r>
        <w:t xml:space="preserve"> </w:t>
      </w:r>
      <w:r>
        <w:t xml:space="preserve">ИЗОБРЕТЕНИЕ</w:t>
      </w:r>
      <w:r>
        <w:t xml:space="preserve"> </w:t>
      </w:r>
      <w:r>
        <w:t xml:space="preserve">(СПОСОБ)</w:t>
      </w:r>
    </w:p>
    <w:p>
      <w:pPr>
        <w:pStyle w:val="Heading1"/>
      </w:pPr>
      <w:bookmarkStart w:id="20" w:name="название-изобретения"/>
      <w:r>
        <w:t xml:space="preserve">Название изобретения</w:t>
      </w:r>
      <w:bookmarkEnd w:id="20"/>
    </w:p>
    <w:p>
      <w:pPr>
        <w:pStyle w:val="FirstParagraph"/>
      </w:pPr>
      <w:r>
        <w:t xml:space="preserve">Способ распознавания истинной цели на фоне самоприкрывающей ретрансляционной помехи.</w:t>
      </w:r>
    </w:p>
    <w:p>
      <w:pPr>
        <w:pStyle w:val="Heading1"/>
      </w:pPr>
      <w:bookmarkStart w:id="21" w:name="область-техники"/>
      <w:r>
        <w:t xml:space="preserve">Область техники</w:t>
      </w:r>
      <w:bookmarkEnd w:id="21"/>
    </w:p>
    <w:p>
      <w:pPr>
        <w:pStyle w:val="FirstParagraph"/>
      </w:pPr>
      <w:r>
        <w:t xml:space="preserve">Изобретение относится к радиолокации, а именно к способам защиты радиолокационных станций с активной фазированной антенной решёткой (АФАР) от активных ретрансляционных (DRFM) самоприкрывающих помех, и может применяться для распознавания истинной цели среди ложных отметок.</w:t>
      </w:r>
    </w:p>
    <w:p>
      <w:pPr>
        <w:pStyle w:val="Heading1"/>
      </w:pPr>
      <w:bookmarkStart w:id="22" w:name="уровень-техники"/>
      <w:r>
        <w:t xml:space="preserve">Уровень техники</w:t>
      </w:r>
      <w:bookmarkEnd w:id="22"/>
    </w:p>
    <w:p>
      <w:pPr>
        <w:pStyle w:val="FirstParagraph"/>
      </w:pPr>
      <w:r>
        <w:t xml:space="preserve">Известен способ подавления активной помехи (RU2549375C1, прототип), основанный на приёме излучения источника помех по основному и вспомогательному каналам и вычислении корреляции между ними для компенсации помехи в главном луче. Способ рассчитан на геометрию отдельного постановщика и не содержит структурного различителя «истинная/ложная цель»: при самоприкрытии, когда помеха излучается с носителя цели, отклик ретранслятора структурно неотличим от отражения цели, и задача не решается.</w:t>
      </w:r>
    </w:p>
    <w:p>
      <w:pPr>
        <w:pStyle w:val="BodyText"/>
      </w:pPr>
      <w:r>
        <w:t xml:space="preserve">Известны нейросетевые способы классификации радиолокационных данных на трёхмерном массиве «дальность–угол–скорость» (US10962637B2, US12181562) и способы формирования азимут-угломестной картины преобразованием Фурье по бинам дальности (EP0097490A2). По отдельности они не обеспечивают распознавания истинной цели при самоприкрытии.</w:t>
      </w:r>
    </w:p>
    <w:p>
      <w:pPr>
        <w:pStyle w:val="Heading1"/>
      </w:pPr>
      <w:bookmarkStart w:id="23" w:name="раскрытие-сущности-изобретения"/>
      <w:r>
        <w:t xml:space="preserve">Раскрытие сущности изобретения</w:t>
      </w:r>
      <w:bookmarkEnd w:id="23"/>
    </w:p>
    <w:p>
      <w:pPr>
        <w:pStyle w:val="FirstParagraph"/>
      </w:pPr>
      <w:r>
        <w:rPr>
          <w:b/>
        </w:rPr>
        <w:t xml:space="preserve">Решаемая задача</w:t>
      </w:r>
      <w:r>
        <w:t xml:space="preserve"> </w:t>
      </w:r>
      <w:r>
        <w:t xml:space="preserve">— надёжное распознавание истинной цели на фоне самоприкрывающей ретрансляционной помехи при ограниченной латентности обработки.</w:t>
      </w:r>
    </w:p>
    <w:p>
      <w:pPr>
        <w:pStyle w:val="BodyText"/>
      </w:pPr>
      <w:r>
        <w:rPr>
          <w:b/>
        </w:rPr>
        <w:t xml:space="preserve">Технический результат</w:t>
      </w:r>
      <w:r>
        <w:t xml:space="preserve"> </w:t>
      </w:r>
      <w:r>
        <w:t xml:space="preserve">— повышение достоверности распознавания истинной цели и снижение вычислительных затрат за счёт сведения большого объёма данных к компактной матрице токенов и применения причинностного физического арбитра.</w:t>
      </w:r>
    </w:p>
    <w:p>
      <w:pPr>
        <w:pStyle w:val="BodyText"/>
      </w:pPr>
      <w:r>
        <w:t xml:space="preserve">Результат достигается совокупностью действий, выполняемых за каждый рабочий такт: (а) формирование объёма «апертура×апертура×дальность» двумя раздельными преобразованиями Фурье; (б) замена полной угловой карты каждого среза структурным токеном из инвариантных к расщеплению признаков; (в) классификация срезов нейросетевым гейтом при вынесении окончательной метки причинностным арбитром (передний край τ ≥ 0 и/или согласование с текущим кодом); (г) формирование целеуказания по матрице токенов и излучение агильного зонда FM-m. Технический результат обеспечивается именно совокупностью (а)–(г).</w:t>
      </w:r>
    </w:p>
    <w:p>
      <w:pPr>
        <w:pStyle w:val="Heading1"/>
      </w:pPr>
      <w:bookmarkStart w:id="24" w:name="краткое-описание-чертежей"/>
      <w:r>
        <w:t xml:space="preserve">Краткое описание чертежей</w:t>
      </w:r>
      <w:bookmarkEnd w:id="24"/>
    </w:p>
    <w:p>
      <w:pPr>
        <w:pStyle w:val="FirstParagraph"/>
      </w:pPr>
      <w:r>
        <w:t xml:space="preserve">На фиг. 1 приведена схема осуществления способа (последовательность операций одного рабочего такта).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Схема осуществления способа (Фиг. 1)" title="" id="1" name="Picture"/>
            <a:graphic>
              <a:graphicData uri="http://schemas.openxmlformats.org/drawingml/2006/picture">
                <pic:pic>
                  <pic:nvPicPr>
                    <pic:cNvPr descr="shema_sposo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осуществления способа (Фиг. 1)</w:t>
      </w:r>
    </w:p>
    <w:p>
      <w:pPr>
        <w:pStyle w:val="Heading1"/>
      </w:pPr>
      <w:bookmarkStart w:id="26" w:name="осуществление-изобретения"/>
      <w:r>
        <w:t xml:space="preserve">Осуществление изобретения</w:t>
      </w:r>
      <w:bookmarkEnd w:id="26"/>
    </w:p>
    <w:p>
      <w:pPr>
        <w:pStyle w:val="FirstParagraph"/>
      </w:pPr>
      <w:r>
        <w:t xml:space="preserve">Способ осуществляют за каждый рабочий такт в следующей последовательности действий (фиг. 1).</w:t>
      </w:r>
    </w:p>
    <w:p>
      <w:pPr>
        <w:pStyle w:val="BodyText"/>
      </w:pPr>
      <w:r>
        <w:t xml:space="preserve">Излучают широкий линейно-частотно-модулированный (ЛЧМ) сигнал; принятый сигнал подвергают гетеродинному сжатию (дечирпу), при котором задержка цели переходит в постоянную частоту биений (</w:t>
      </w:r>
      <w:r>
        <w:rPr>
          <w:rStyle w:val="VerbatimChar"/>
        </w:rPr>
        <w:t xml:space="preserve">f_b = μ·2R/c</w:t>
      </w:r>
      <w:r>
        <w:t xml:space="preserve">,</w:t>
      </w:r>
      <w:r>
        <w:t xml:space="preserve"> </w:t>
      </w:r>
      <w:r>
        <w:rPr>
          <w:rStyle w:val="VerbatimChar"/>
        </w:rPr>
        <w:t xml:space="preserve">μ = ΔF/T_c</w:t>
      </w:r>
      <w:r>
        <w:t xml:space="preserve">), и получают N комплексных отсчётов, где N — переменная за такт величина.</w:t>
      </w:r>
    </w:p>
    <w:p>
      <w:pPr>
        <w:pStyle w:val="BodyText"/>
      </w:pPr>
      <w:r>
        <w:t xml:space="preserve">Формируют массив «апертура×апертура×дальность» размерности 16×16×N двумя раздельными преобразованиями Фурье: глобальным дальностным по оси быстрого времени (после него ось дальности содержит N бинов) и поячеечным угловым 16×16 на каждом бине дальности; магнитуду с центрированием (fftshift) вычисляют только после углового преобразования. Разрешение по дальности</w:t>
      </w:r>
      <w:r>
        <w:t xml:space="preserve"> </w:t>
      </w:r>
      <w:r>
        <w:rPr>
          <w:rStyle w:val="VerbatimChar"/>
        </w:rPr>
        <w:t xml:space="preserve">Δr = c/(2·ΔF)</w:t>
      </w:r>
      <w:r>
        <w:t xml:space="preserve">; угловая шкала</w:t>
      </w:r>
      <w:r>
        <w:t xml:space="preserve"> </w:t>
      </w:r>
      <w:r>
        <w:rPr>
          <w:rStyle w:val="VerbatimChar"/>
        </w:rPr>
        <w:t xml:space="preserve">sinθ = k/8</w:t>
      </w:r>
      <w:r>
        <w:t xml:space="preserve"> </w:t>
      </w:r>
      <w:r>
        <w:t xml:space="preserve">при шаге решётки</w:t>
      </w:r>
      <w:r>
        <w:t xml:space="preserve"> </w:t>
      </w:r>
      <w:r>
        <w:rPr>
          <w:rStyle w:val="VerbatimChar"/>
        </w:rPr>
        <w:t xml:space="preserve">d = λ/2</w:t>
      </w:r>
      <w:r>
        <w:t xml:space="preserve">.</w:t>
      </w:r>
    </w:p>
    <w:p>
      <w:pPr>
        <w:pStyle w:val="BodyText"/>
      </w:pPr>
      <w:r>
        <w:t xml:space="preserve">Для каждого среза дальности заменяют полную угловую карту (256 = 16×16 ячеек) структурным токеном, содержащим массив до пяти наиболее ярких угловых пиков</w:t>
      </w:r>
      <w:r>
        <w:t xml:space="preserve"> </w:t>
      </w:r>
      <w:r>
        <w:rPr>
          <w:rStyle w:val="VerbatimChar"/>
        </w:rPr>
        <w:t xml:space="preserve">(k_x, k_y, амплитуда, кромка)</w:t>
      </w:r>
      <w:r>
        <w:t xml:space="preserve"> </w:t>
      </w:r>
      <w:r>
        <w:t xml:space="preserve">и вектор инвариантных к расщеплению признаков распределения энергии: пиковое отношение</w:t>
      </w:r>
      <w:r>
        <w:t xml:space="preserve"> </w:t>
      </w:r>
      <w:r>
        <w:rPr>
          <w:rStyle w:val="VerbatimChar"/>
        </w:rPr>
        <w:t xml:space="preserve">PR = (Σp)²/Σp²</w:t>
      </w:r>
      <w:r>
        <w:t xml:space="preserve">, меру разреженности Хойера, долю энергии главного лепестка в окне 3×3, интегральное отношение главного лепестка к боковым.</w:t>
      </w:r>
    </w:p>
    <w:p>
      <w:pPr>
        <w:pStyle w:val="BodyText"/>
      </w:pPr>
      <w:r>
        <w:t xml:space="preserve">Классификатором (нейросеть 6→16→3) относят срез к классу состояния (шум/собранный/размазанный); классификатор выполняет функцию гейта и приоритизатора. Окончательную метку «истинная/ложная цель» устанавливают причинностным арбитром: истинная цель — ближний по дальности член причинностной группы (ретранслятор причинно только задерживает,</w:t>
      </w:r>
      <w:r>
        <w:t xml:space="preserve"> </w:t>
      </w:r>
      <w:r>
        <w:rPr>
          <w:rStyle w:val="VerbatimChar"/>
        </w:rPr>
        <w:t xml:space="preserve">τ ≥ 0</w:t>
      </w:r>
      <w:r>
        <w:t xml:space="preserve">, поэтому ложные отметки всегда дальше), и/или отклик, согласованный с текущим кодом зондирования. Область применения правила — самозащитная помеха; уводящую помеху на ином носителе разделяют по свежести кода и угловому разнесению.</w:t>
      </w:r>
    </w:p>
    <w:p>
      <w:pPr>
        <w:pStyle w:val="BodyText"/>
      </w:pPr>
      <w:r>
        <w:t xml:space="preserve">По совокупности токенов (матрице токенов) формируют целеуказание (номер бина дальности, тонкую дальность интерполяцией пика, углы) и излучают в интересуемые площади многолучевой агильный фазоманипулированный зонд FM-m с кодом переменной длины 2ⁿ (2⁸…2²⁰), дополняемой нулями до размера преобразования Фурье, причём код меняется от такта к такту. Корреляцию с кодом выполняют через быстрое преобразование Фурье (</w:t>
      </w:r>
      <w:r>
        <w:rPr>
          <w:rStyle w:val="VerbatimChar"/>
        </w:rPr>
        <w:t xml:space="preserve">corr = IFFT(conj(FFT(ref))·FFT(inp))</w:t>
      </w:r>
      <w:r>
        <w:t xml:space="preserve">) по k сопряжённым опорам текущего кода; на выходе обратного преобразования формируют вторичный набор токенов из 3–5 наибольших значений отклика.</w:t>
      </w:r>
    </w:p>
    <w:p>
      <w:pPr>
        <w:pStyle w:val="BodyText"/>
      </w:pPr>
      <w:r>
        <w:t xml:space="preserve">На трудных кандидатах с нерегулярной структурой (рваная гребёнка, дрожащая задержка) дополнительно применяют резидентную последовательностную нейронную сеть (LSTM/GRU) над потоком токенов области интереса, уточняющую угол и тонкую дальность, с окончательным подтверждением код-корреляцией.</w:t>
      </w:r>
    </w:p>
    <w:p>
      <w:pPr>
        <w:pStyle w:val="BodyText"/>
      </w:pPr>
      <w:r>
        <w:t xml:space="preserve">Формирование среза, свёртку в токен и классификацию выполняют целиком в быстрой внутрикристальной памяти рабочей группы графического процессора, а угловое преобразование 16×16 — на матричных (тензорных) вычислительных блоках, что снижает вычислительные затраты.</w:t>
      </w:r>
    </w:p>
    <w:p>
      <w:pPr>
        <w:pStyle w:val="BodyText"/>
      </w:pPr>
      <w:r>
        <w:t xml:space="preserve">Возможность осуществления способа подтверждается наличием рабочего корреляционного модуля FM-m на GPU (ROCm/HIP, hipFFT/rocFFT).</w:t>
      </w:r>
    </w:p>
    <w:p>
      <w:pPr>
        <w:pStyle w:val="Heading1"/>
      </w:pPr>
      <w:bookmarkStart w:id="27" w:name="формула-изобретения"/>
      <w:r>
        <w:t xml:space="preserve">Формула изобретения</w:t>
      </w:r>
      <w:bookmarkEnd w:id="27"/>
    </w:p>
    <w:p>
      <w:pPr>
        <w:pStyle w:val="FirstParagraph"/>
      </w:pPr>
      <w:r>
        <w:rPr>
          <w:b/>
        </w:rPr>
        <w:t xml:space="preserve">1.</w:t>
      </w:r>
      <w:r>
        <w:t xml:space="preserve"> </w:t>
      </w:r>
      <w:r>
        <w:t xml:space="preserve">Способ распознавания истинной цели на фоне самоприкрывающей ретрансляционной помехи и целеуказания в моностатическом радаре с активной фазированной антенной решёткой, включающий излучение зондирующего сигнала, приём отражённого сигнала элементами решётки, преобразование Фурье принятого сигнала и обнаружение целей,</w:t>
      </w:r>
      <w:r>
        <w:t xml:space="preserve"> </w:t>
      </w:r>
      <w:r>
        <w:rPr>
          <w:b/>
        </w:rPr>
        <w:t xml:space="preserve">отличающийся тем, что</w:t>
      </w:r>
      <w:r>
        <w:t xml:space="preserve"> </w:t>
      </w:r>
      <w:r>
        <w:t xml:space="preserve">за каждый рабочий такт: (а) излучают широкий линейно-частотно-модулированный сигнал, после гетеродинного сжатия получают N комплексных отсчётов при переменной N и формируют массив «апертура×апертура×дальность» размерности 16×16×N двумя раздельными преобразованиями Фурье — глобальным дальностным и поячеечным угловым 16×16; (б) для каждого среза дальности заменяют полную угловую карту структурным токеном из ограниченного числа наиболее ярких угловых пиков и вектора инвариантных к расщеплению признаков распределения энергии; (в) классификатором относят срез к классу состояния, причём классификатор выполняет функцию гейта, а принадлежность отклика истинной либо ложной цели устанавливают по правилу ближнего по дальности члена причинностной группы (τ ≥ 0) и/или согласования отклика с текущим кодом зондирования; (г) по совокупности токенов формируют целеуказание и излучают в выбранные площади агильный фазоманипулированный зондирующий сигнал с кодом переменной длины 2ⁿ, дополняемой нулями до размера преобразования Фурье, причём код меняется от такта к такту.</w:t>
      </w:r>
    </w:p>
    <w:p>
      <w:pPr>
        <w:pStyle w:val="BodyText"/>
      </w:pPr>
      <w:r>
        <w:rPr>
          <w:b/>
        </w:rPr>
        <w:t xml:space="preserve">2.</w:t>
      </w:r>
      <w:r>
        <w:t xml:space="preserve"> </w:t>
      </w:r>
      <w:r>
        <w:t xml:space="preserve">Способ по п.1, отличающийся тем, что вектор признаков включает пиковое отношение</w:t>
      </w:r>
      <w:r>
        <w:t xml:space="preserve"> </w:t>
      </w:r>
      <w:r>
        <w:rPr>
          <w:rStyle w:val="VerbatimChar"/>
        </w:rPr>
        <w:t xml:space="preserve">PR = (Σp)²/Σp²</w:t>
      </w:r>
      <w:r>
        <w:t xml:space="preserve">, меру разреженности Хойера, долю энергии главного лепестка в окне 3×3 и интегральное отношение главного лепестка к боковым.</w:t>
      </w:r>
    </w:p>
    <w:p>
      <w:pPr>
        <w:pStyle w:val="BodyText"/>
      </w:pPr>
      <w:r>
        <w:rPr>
          <w:b/>
        </w:rPr>
        <w:t xml:space="preserve">3.</w:t>
      </w:r>
      <w:r>
        <w:t xml:space="preserve"> </w:t>
      </w:r>
      <w:r>
        <w:t xml:space="preserve">Способ по п.1, отличающийся тем, что структурный токен содержит до пяти наиболее ярких пиков, заданных угловыми координатами, амплитудой и признаком кромки; массив пиков упорядочен по углу, а сборка токенов ведётся по дальности.</w:t>
      </w:r>
    </w:p>
    <w:p>
      <w:pPr>
        <w:pStyle w:val="BodyText"/>
      </w:pPr>
      <w:r>
        <w:rPr>
          <w:b/>
        </w:rPr>
        <w:t xml:space="preserve">4.</w:t>
      </w:r>
      <w:r>
        <w:t xml:space="preserve"> </w:t>
      </w:r>
      <w:r>
        <w:t xml:space="preserve">Способ по п.1, отличающийся тем, что причинностное правило применяют в области самозащитной помехи, а уводящую помеху на ином носителе разделяют по свежести кода зондирования и угловому разнесению.</w:t>
      </w:r>
    </w:p>
    <w:p>
      <w:pPr>
        <w:pStyle w:val="BodyText"/>
      </w:pPr>
      <w:r>
        <w:rPr>
          <w:b/>
        </w:rPr>
        <w:t xml:space="preserve">5.</w:t>
      </w:r>
      <w:r>
        <w:t xml:space="preserve"> </w:t>
      </w:r>
      <w:r>
        <w:t xml:space="preserve">Способ по п.1, отличающийся тем, что корреляцию с кодом зондирования выполняют через быстрое преобразование Фурье по k сопряжённым опорам текущего кода с батчингом по свободной памяти графического процессора.</w:t>
      </w:r>
    </w:p>
    <w:p>
      <w:pPr>
        <w:pStyle w:val="BodyText"/>
      </w:pPr>
      <w:r>
        <w:rPr>
          <w:b/>
        </w:rPr>
        <w:t xml:space="preserve">6.</w:t>
      </w:r>
      <w:r>
        <w:t xml:space="preserve"> </w:t>
      </w:r>
      <w:r>
        <w:t xml:space="preserve">Способ по п.5, отличающийся тем, что на выходе обратного преобразования Фурье формируют вторичный набор токенов из 3–5 наибольших значений отклика.</w:t>
      </w:r>
    </w:p>
    <w:p>
      <w:pPr>
        <w:pStyle w:val="BodyText"/>
      </w:pPr>
      <w:r>
        <w:rPr>
          <w:b/>
        </w:rPr>
        <w:t xml:space="preserve">7.</w:t>
      </w:r>
      <w:r>
        <w:t xml:space="preserve"> </w:t>
      </w:r>
      <w:r>
        <w:t xml:space="preserve">Способ по п.1, отличающийся тем, что на трудных кандидатах с нерегулярной структурой дополнительно применяют резидентную последовательностную нейронную сеть над потоком токенов области интереса, уточняющую угол и тонкую дальность, с подтверждением код-корреляцией.</w:t>
      </w:r>
    </w:p>
    <w:p>
      <w:pPr>
        <w:pStyle w:val="BodyText"/>
      </w:pPr>
      <w:r>
        <w:rPr>
          <w:b/>
        </w:rPr>
        <w:t xml:space="preserve">8.</w:t>
      </w:r>
      <w:r>
        <w:t xml:space="preserve"> </w:t>
      </w:r>
      <w:r>
        <w:t xml:space="preserve">Способ по п.1, отличающийся тем, что устойчивое обнаружение на угловой карте выполняют посредством CFAR порядковой статистики по угловой координате.</w:t>
      </w:r>
    </w:p>
    <w:p>
      <w:pPr>
        <w:pStyle w:val="BodyText"/>
      </w:pPr>
      <w:r>
        <w:rPr>
          <w:b/>
        </w:rPr>
        <w:t xml:space="preserve">9.</w:t>
      </w:r>
      <w:r>
        <w:t xml:space="preserve"> </w:t>
      </w:r>
      <w:r>
        <w:t xml:space="preserve">Способ по п.1, отличающийся тем, что формирование среза, свёртку в токен и классификацию выполняют в быстрой внутрикристальной памяти рабочей группы графического процессора, а угловое преобразование 16×16 — на матричных вычислительных блоках.</w:t>
      </w:r>
    </w:p>
    <w:p>
      <w:pPr>
        <w:pStyle w:val="Heading1"/>
      </w:pPr>
      <w:bookmarkStart w:id="28" w:name="реферат"/>
      <w:r>
        <w:t xml:space="preserve">Реферат</w:t>
      </w:r>
      <w:bookmarkEnd w:id="28"/>
    </w:p>
    <w:p>
      <w:pPr>
        <w:pStyle w:val="FirstParagraph"/>
      </w:pPr>
      <w:r>
        <w:t xml:space="preserve">Способ распознавания истинной цели на фоне самоприкрывающей ретрансляционной (DRFM) помехи в моностатическом радаре с АФАР. За каждый такт широкий ЛЧМ-сигнал формирует объём «апертура×апертура×дальность» 16×16×N двумя раздельными преобразованиями Фурье; каждый срез дальности сворачивают в компактный структурный токен из наиболее ярких угловых пиков и инвариантных к расщеплению признаков; нейросетевой гейт классифицирует срезы, а окончательную метку «истинная/ложная цель» выносит причинностный арбитр по правилу ближнего края (τ ≥ 0) и/или согласования с текущим кодом; по матрице токенов формируют целеуказание и излучают агильный зонд FM-m с кодом переменной длины. Достигается повышение достоверности распознавания при самоприкрытии и снижение вычислительных затрат.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ИЗОБРЕТЕНИЕ (СПОСОБ)</dc:title>
  <dc:creator/>
  <cp:keywords/>
  <dcterms:created xsi:type="dcterms:W3CDTF">2026-07-08T19:53:49Z</dcterms:created>
  <dcterms:modified xsi:type="dcterms:W3CDTF">2026-07-08T19:53:49Z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