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ЗАЯВКА</w:t>
      </w:r>
      <w:r>
        <w:t xml:space="preserve"> </w:t>
      </w:r>
      <w:r>
        <w:t xml:space="preserve">НА</w:t>
      </w:r>
      <w:r>
        <w:t xml:space="preserve"> </w:t>
      </w:r>
      <w:r>
        <w:t xml:space="preserve">ИЗОБРЕТЕНИЕ</w:t>
      </w:r>
      <w:r>
        <w:t xml:space="preserve"> </w:t>
      </w:r>
      <w:r>
        <w:t xml:space="preserve">(УСТРОЙСТВО)</w:t>
      </w:r>
    </w:p>
    <w:p>
      <w:pPr>
        <w:pStyle w:val="Heading1"/>
      </w:pPr>
      <w:bookmarkStart w:id="20" w:name="название-изобретения"/>
      <w:r>
        <w:t xml:space="preserve">Название изобретения</w:t>
      </w:r>
      <w:bookmarkEnd w:id="20"/>
    </w:p>
    <w:p>
      <w:pPr>
        <w:pStyle w:val="FirstParagraph"/>
      </w:pPr>
      <w:r>
        <w:t xml:space="preserve">Устройство распознавания истинной цели на фоне самоприкрывающей ретрансляционной помехи.</w:t>
      </w:r>
    </w:p>
    <w:p>
      <w:pPr>
        <w:pStyle w:val="Heading1"/>
      </w:pPr>
      <w:bookmarkStart w:id="21" w:name="область-техники"/>
      <w:r>
        <w:t xml:space="preserve">Область техники</w:t>
      </w:r>
      <w:bookmarkEnd w:id="21"/>
    </w:p>
    <w:p>
      <w:pPr>
        <w:pStyle w:val="FirstParagraph"/>
      </w:pPr>
      <w:r>
        <w:t xml:space="preserve">Изобретение относится к радиолокации, а именно к устройствам защиты радиолокационных станций с активной фазированной антенной решёткой (АФАР) от активных ретрансляционных (DRFM) самоприкрывающих помех.</w:t>
      </w:r>
    </w:p>
    <w:p>
      <w:pPr>
        <w:pStyle w:val="Heading1"/>
      </w:pPr>
      <w:bookmarkStart w:id="22" w:name="уровень-техники"/>
      <w:r>
        <w:t xml:space="preserve">Уровень техники</w:t>
      </w:r>
      <w:bookmarkEnd w:id="22"/>
    </w:p>
    <w:p>
      <w:pPr>
        <w:pStyle w:val="FirstParagraph"/>
      </w:pPr>
      <w:r>
        <w:t xml:space="preserve">Известно устройство подавления активной помехи (RU2549375C1, прототип), содержащее приёмные каналы (основной и вспомогательный) и блок корреляции для компенсации помехи в главном луче. Устройство не содержит средств структурного различения «истинная/ложная цель» и при самоприкрытии, когда помеха излучается с носителя цели, задачу не решает.</w:t>
      </w:r>
    </w:p>
    <w:p>
      <w:pPr>
        <w:pStyle w:val="BodyText"/>
      </w:pPr>
      <w:r>
        <w:t xml:space="preserve">Известны вычислительные устройства нейросетевой классификации радиолокационного куба (US10962637B2, US12181562), устройства планирования радиолокационного ресурса (US11747438) и устройства GPU-обработки радиолокационных данных (CN101441271A); по отдельности они не обеспечивают распознавания истинной цели при самоприкрытии.</w:t>
      </w:r>
    </w:p>
    <w:p>
      <w:pPr>
        <w:pStyle w:val="Heading1"/>
      </w:pPr>
      <w:bookmarkStart w:id="23" w:name="раскрытие-сущности-изобретения"/>
      <w:r>
        <w:t xml:space="preserve">Раскрытие сущности изобретения</w:t>
      </w:r>
      <w:bookmarkEnd w:id="23"/>
    </w:p>
    <w:p>
      <w:pPr>
        <w:pStyle w:val="FirstParagraph"/>
      </w:pPr>
      <w:r>
        <w:rPr>
          <w:b/>
        </w:rPr>
        <w:t xml:space="preserve">Решаемая задача</w:t>
      </w:r>
      <w:r>
        <w:t xml:space="preserve"> </w:t>
      </w:r>
      <w:r>
        <w:t xml:space="preserve">— надёжное распознавание истинной цели на фоне самоприкрывающей ретрансляционной помехи при ограниченной латентности.</w:t>
      </w:r>
    </w:p>
    <w:p>
      <w:pPr>
        <w:pStyle w:val="BodyText"/>
      </w:pPr>
      <w:r>
        <w:rPr>
          <w:b/>
        </w:rPr>
        <w:t xml:space="preserve">Технический результат</w:t>
      </w:r>
      <w:r>
        <w:t xml:space="preserve"> </w:t>
      </w:r>
      <w:r>
        <w:t xml:space="preserve">— повышение достоверности распознавания и снижение вычислительных затрат за счёт вычислителя, сводящего объём данных к матрице токенов, и причинностного арбитра.</w:t>
      </w:r>
    </w:p>
    <w:p>
      <w:pPr>
        <w:pStyle w:val="BodyText"/>
      </w:pPr>
      <w:r>
        <w:t xml:space="preserve">Технический результат достигается тем, что устройство содержит вычислитель на графическом процессоре, выполненный с возможностью формирования объёма 16×16×N двумя раздельными преобразованиями Фурье, свёртки срезов в структурные токены, гейтовой классификации и причинностного арбитража «истинная/ложная цель», и формирователь агильного зонда FM-m, управляемый по матрице токенов.</w:t>
      </w:r>
    </w:p>
    <w:p>
      <w:pPr>
        <w:pStyle w:val="Heading1"/>
      </w:pPr>
      <w:bookmarkStart w:id="24" w:name="краткое-описание-чертежей"/>
      <w:r>
        <w:t xml:space="preserve">Краткое описание чертежей</w:t>
      </w:r>
      <w:bookmarkEnd w:id="24"/>
    </w:p>
    <w:p>
      <w:pPr>
        <w:pStyle w:val="FirstParagraph"/>
      </w:pPr>
      <w:r>
        <w:t xml:space="preserve">На фиг. 1 приведена структурная схема устройства.</w:t>
      </w:r>
    </w:p>
    <w:p>
      <w:pPr>
        <w:pStyle w:val="CaptionedFigure"/>
      </w:pPr>
      <w:r>
        <w:drawing>
          <wp:inline>
            <wp:extent cx="5334000" cy="3547020"/>
            <wp:effectExtent b="0" l="0" r="0" t="0"/>
            <wp:docPr descr="Структурная схема устройства (Фиг. 1)" title="" id="1" name="Picture"/>
            <a:graphic>
              <a:graphicData uri="http://schemas.openxmlformats.org/drawingml/2006/picture">
                <pic:pic>
                  <pic:nvPicPr>
                    <pic:cNvPr descr="struct_shem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7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Структурная схема устройства (Фиг. 1)</w:t>
      </w:r>
    </w:p>
    <w:p>
      <w:pPr>
        <w:pStyle w:val="Heading1"/>
      </w:pPr>
      <w:bookmarkStart w:id="26" w:name="осуществление-изобретения"/>
      <w:r>
        <w:t xml:space="preserve">Осуществление изобретения</w:t>
      </w:r>
      <w:bookmarkEnd w:id="26"/>
    </w:p>
    <w:p>
      <w:pPr>
        <w:pStyle w:val="FirstParagraph"/>
      </w:pPr>
      <w:r>
        <w:t xml:space="preserve">Заявляемое устройство (фиг. 1) состоит из активной фазированной антенной решётки 1, соединённого с ней аналого-цифрового преобразователя 2, блока гетеродинного сжатия (дечирпа) на программируемой логической интегральной схеме 3, вычислителя на графическом процессоре 4, формирователя агильного фазоманипулированного сигнала 5 и канала широкого линейно-частотно-модулированного обзора 6.</w:t>
      </w:r>
    </w:p>
    <w:p>
      <w:pPr>
        <w:pStyle w:val="BodyText"/>
      </w:pPr>
      <w:r>
        <w:t xml:space="preserve">Вычислитель 4 содержит: блок формирования объёма «апертура×апертура×дальность» размерности 16×16×N двумя раздельными преобразованиями Фурье 4.1; блок токенизации 4.2, формирующий по каждому срезу дальности структурный токен из наиболее ярких угловых пиков и инвариантных к расщеплению признаков; классификатор-гейт 4.3; причинностный арбитр 4.4, устанавливающий метку «истинная/ложная цель» по правилу ближнего края (</w:t>
      </w:r>
      <w:r>
        <w:rPr>
          <w:rStyle w:val="VerbatimChar"/>
        </w:rPr>
        <w:t xml:space="preserve">τ ≥ 0</w:t>
      </w:r>
      <w:r>
        <w:t xml:space="preserve">) и/или согласования с текущим кодом; коррелятор FM-m 4.5.</w:t>
      </w:r>
    </w:p>
    <w:p>
      <w:pPr>
        <w:pStyle w:val="BodyText"/>
      </w:pPr>
      <w:r>
        <w:t xml:space="preserve">Выход блока 3 соединён со входом вычислителя 4 (блок 4.1); блоки 4.1–4.5 соединены последовательно; выход арбитра 4.4 (матрица токенов, целеуказание) соединён с управляющим входом формирователя 5; выход формирователя 5 и выход канала обзора 6 соединены с АФАР 1.</w:t>
      </w:r>
    </w:p>
    <w:p>
      <w:pPr>
        <w:pStyle w:val="BodyText"/>
      </w:pPr>
      <w:r>
        <w:rPr>
          <w:b/>
        </w:rPr>
        <w:t xml:space="preserve">Устройство работает следующим образом.</w:t>
      </w:r>
      <w:r>
        <w:t xml:space="preserve"> </w:t>
      </w:r>
      <w:r>
        <w:t xml:space="preserve">Канал широкого ЛЧМ-обзора 6 через АФАР 1 излучает зондирующий ЛЧМ-сигнал. Отражённый сигнал принимается АФАР 1, оцифровывается АЦП 2 и сжимается блоком дечирпа 3, на выходе которого формируется поток из N комплексных отсчётов (N переменна). Вычислитель 4 блоком 4.1 формирует объём 16×16×N двумя раздельными преобразованиями Фурье (глобальным дальностным и поячеечным угловым 16×16, последнее — на матричных блоках); блок 4.2 сворачивает каждый срез дальности в структурный токен; классификатор-гейт 4.3 относит срез к классу состояния; арбитр 4.4 по матрице токенов выносит метку «истинная/ложная цель» по правилу ближнего края и/или согласования с текущим кодом и формирует целеуказание. По целеуказанию формирователь 5 через АФАР 1 излучает многолучевой агильный зонд FM-m с кодом переменной длины 2ⁿ, меняющимся от такта к такту; коррелятор 4.5 подтверждает цель по код-согласованному пику. Формирование среза, токенизация и классификация выполняются в быстрой внутрикристальной памяти рабочей группы графического процессора.</w:t>
      </w:r>
    </w:p>
    <w:p>
      <w:pPr>
        <w:pStyle w:val="BodyText"/>
      </w:pPr>
      <w:r>
        <w:t xml:space="preserve">Возможность осуществления подтверждается реализацией коррелятора FM-m на GPU (ROCm/HIP, hipFFT/rocFFT).</w:t>
      </w:r>
    </w:p>
    <w:p>
      <w:pPr>
        <w:pStyle w:val="Heading1"/>
      </w:pPr>
      <w:bookmarkStart w:id="27" w:name="формула-изобретения"/>
      <w:r>
        <w:t xml:space="preserve">Формула изобретения</w:t>
      </w:r>
      <w:bookmarkEnd w:id="27"/>
    </w:p>
    <w:p>
      <w:pPr>
        <w:pStyle w:val="FirstParagraph"/>
      </w:pPr>
      <w:r>
        <w:rPr>
          <w:b/>
        </w:rPr>
        <w:t xml:space="preserve">1.</w:t>
      </w:r>
      <w:r>
        <w:t xml:space="preserve"> </w:t>
      </w:r>
      <w:r>
        <w:t xml:space="preserve">Устройство распознавания истинной цели на фоне самоприкрывающей ретрансляционной помехи, содержащее активную фазированную антенную решётку (1), соединённый с ней аналого-цифровой преобразователь (2), блок гетеродинного сжатия (3) и вычислитель на графическом процессоре (4),</w:t>
      </w:r>
      <w:r>
        <w:t xml:space="preserve"> </w:t>
      </w:r>
      <w:r>
        <w:rPr>
          <w:b/>
        </w:rPr>
        <w:t xml:space="preserve">отличающееся тем, что</w:t>
      </w:r>
      <w:r>
        <w:t xml:space="preserve"> </w:t>
      </w:r>
      <w:r>
        <w:t xml:space="preserve">вычислитель (4) содержит блок формирования объёма «апертура×апертура×дальность» размерности 16×16×N двумя раздельными преобразованиями Фурье (4.1), блок токенизации (4.2), выполненный с возможностью замены полной угловой карты среза структурным токеном из наиболее ярких угловых пиков и инвариантных к расщеплению признаков, классификатор-гейт (4.3) и причинностный арбитр (4.4), устанавливающий метку «истинная/ложная цель» по правилу ближнего по дальности члена причинностной группы (τ ≥ 0) и/или согласования с текущим кодом, а также содержит формирователь агильного фазоманипулированного сигнала (5) переменной длины 2ⁿ, управляемый по матрице токенов от арбитра (4.4) для целеуказания.</w:t>
      </w:r>
    </w:p>
    <w:p>
      <w:pPr>
        <w:pStyle w:val="BodyText"/>
      </w:pPr>
      <w:r>
        <w:rPr>
          <w:b/>
        </w:rPr>
        <w:t xml:space="preserve">2.</w:t>
      </w:r>
      <w:r>
        <w:t xml:space="preserve"> </w:t>
      </w:r>
      <w:r>
        <w:t xml:space="preserve">Устройство по п.1, отличающееся тем, что формирователь (5) выполнен с возможностью построения кода переменной длины от 2⁸ до 2²⁰, меняющегося от такта к такту.</w:t>
      </w:r>
    </w:p>
    <w:p>
      <w:pPr>
        <w:pStyle w:val="BodyText"/>
      </w:pPr>
      <w:r>
        <w:rPr>
          <w:b/>
        </w:rPr>
        <w:t xml:space="preserve">3.</w:t>
      </w:r>
      <w:r>
        <w:t xml:space="preserve"> </w:t>
      </w:r>
      <w:r>
        <w:t xml:space="preserve">Устройство по п.1, отличающееся тем, что вычислитель (4) содержит коррелятор FM-m (4.5), реализованный на библиотеке hipFFT/ROCm с двухпоточным конвейером и батчингом по свободной памяти.</w:t>
      </w:r>
    </w:p>
    <w:p>
      <w:pPr>
        <w:pStyle w:val="BodyText"/>
      </w:pPr>
      <w:r>
        <w:rPr>
          <w:b/>
        </w:rPr>
        <w:t xml:space="preserve">4.</w:t>
      </w:r>
      <w:r>
        <w:t xml:space="preserve"> </w:t>
      </w:r>
      <w:r>
        <w:t xml:space="preserve">Устройство по п.1, отличающееся тем, что блок формирования объёма (4.1) выполняет угловое преобразование 16×16 на матричных (тензорных) вычислительных блоках, а блоки токенизации (4.2) и классификации (4.3) работают в быстрой внутрикристальной памяти рабочей группы.</w:t>
      </w:r>
    </w:p>
    <w:p>
      <w:pPr>
        <w:pStyle w:val="BodyText"/>
      </w:pPr>
      <w:r>
        <w:rPr>
          <w:b/>
        </w:rPr>
        <w:t xml:space="preserve">5.</w:t>
      </w:r>
      <w:r>
        <w:t xml:space="preserve"> </w:t>
      </w:r>
      <w:r>
        <w:t xml:space="preserve">Устройство по п.1, отличающееся тем, что содержит канал широкого линейно-частотно-модулированного обзора (6) для грубого целеуказания, гейтящего агильный фазоманипулированный зонд.</w:t>
      </w:r>
    </w:p>
    <w:p>
      <w:pPr>
        <w:pStyle w:val="BodyText"/>
      </w:pPr>
      <w:r>
        <w:rPr>
          <w:b/>
        </w:rPr>
        <w:t xml:space="preserve">6.</w:t>
      </w:r>
      <w:r>
        <w:t xml:space="preserve"> </w:t>
      </w:r>
      <w:r>
        <w:t xml:space="preserve">Устройство по п.1, отличающееся тем, что вычислитель (4) содержит резидентную последовательностную нейронную сеть, выполненную с возможностью уточнения угла и тонкой дальности трудного кандидата по потоку токенов области интереса.</w:t>
      </w:r>
    </w:p>
    <w:p>
      <w:pPr>
        <w:pStyle w:val="Heading1"/>
      </w:pPr>
      <w:bookmarkStart w:id="28" w:name="реферат"/>
      <w:r>
        <w:t xml:space="preserve">Реферат</w:t>
      </w:r>
      <w:bookmarkEnd w:id="28"/>
    </w:p>
    <w:p>
      <w:pPr>
        <w:pStyle w:val="FirstParagraph"/>
      </w:pPr>
      <w:r>
        <w:t xml:space="preserve">Устройство распознавания истинной цели на фоне самоприкрывающей ретрансляционной (DRFM) помехи в моностатическом радаре с АФАР. Устройство содержит АФАР (1), АЦП (2), блок гетеродинного дечирпа на ПЛИС (3), вычислитель на GPU (4) с блоком формирования объёма 16×16×N двумя раздельными преобразованиями Фурье (4.1), токенизатором (4.2), гейтом (4.3), причинностным арбитром (4.4) и коррелятором FM-m (4.5), формирователь агильного зонда FM-m (5) и канал ЛЧМ-обзора (6). Достигается повышение достоверности распознавания при самоприкрытии и снижение вычислительных затрат.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НА ИЗОБРЕТЕНИЕ (УСТРОЙСТВО)</dc:title>
  <dc:creator/>
  <cp:keywords/>
  <dcterms:created xsi:type="dcterms:W3CDTF">2026-07-08T19:53:49Z</dcterms:created>
  <dcterms:modified xsi:type="dcterms:W3CDTF">2026-07-08T19:53:49Z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