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Способ</w:t>
      </w:r>
      <w:r>
        <w:t xml:space="preserve"> </w:t>
      </w:r>
      <w:r>
        <w:t xml:space="preserve">и</w:t>
      </w:r>
      <w:r>
        <w:t xml:space="preserve"> </w:t>
      </w:r>
      <w:r>
        <w:t xml:space="preserve">устройство</w:t>
      </w:r>
      <w:r>
        <w:t xml:space="preserve"> </w:t>
      </w:r>
      <w:r>
        <w:t xml:space="preserve">распознавания</w:t>
      </w:r>
      <w:r>
        <w:t xml:space="preserve"> </w:t>
      </w:r>
      <w:r>
        <w:t xml:space="preserve">цели</w:t>
      </w:r>
      <w:r>
        <w:t xml:space="preserve"> </w:t>
      </w:r>
      <w:r>
        <w:t xml:space="preserve">на</w:t>
      </w:r>
      <w:r>
        <w:t xml:space="preserve"> </w:t>
      </w:r>
      <w:r>
        <w:t xml:space="preserve">фоне</w:t>
      </w:r>
      <w:r>
        <w:t xml:space="preserve"> </w:t>
      </w:r>
      <w:r>
        <w:t xml:space="preserve">самоприкрывающих</w:t>
      </w:r>
      <w:r>
        <w:t xml:space="preserve"> </w:t>
      </w:r>
      <w:r>
        <w:t xml:space="preserve">помех</w:t>
      </w:r>
    </w:p>
    <w:p>
      <w:pPr>
        <w:pStyle w:val="Heading1"/>
      </w:pPr>
      <w:bookmarkStart w:id="20" w:name="название-изобретения"/>
      <w:r>
        <w:t xml:space="preserve">Название изобретения</w:t>
      </w:r>
      <w:bookmarkEnd w:id="20"/>
    </w:p>
    <w:p>
      <w:pPr>
        <w:pStyle w:val="FirstParagraph"/>
      </w:pPr>
      <w:r>
        <w:t xml:space="preserve">Способ распознавания истинной цели на фоне самоприкрывающей ретрансляционной помехи и устройство для его осуществления.</w:t>
      </w:r>
    </w:p>
    <w:p>
      <w:pPr>
        <w:pStyle w:val="Heading1"/>
      </w:pPr>
      <w:bookmarkStart w:id="21" w:name="область-техники"/>
      <w:r>
        <w:t xml:space="preserve">Область техники</w:t>
      </w:r>
      <w:bookmarkEnd w:id="21"/>
    </w:p>
    <w:p>
      <w:pPr>
        <w:pStyle w:val="FirstParagraph"/>
      </w:pPr>
      <w:r>
        <w:t xml:space="preserve">Изобретение относится к радиолокации, а именно к защите радиолокационных станций с активной фазированной антенной решёткой (АФАР) от активных ретрансляционных (DRFM) самоприкрывающих помех, и может использоваться для распознавания истинной цели среди ложных отметок и выдачи целеуказания.</w:t>
      </w:r>
    </w:p>
    <w:p>
      <w:pPr>
        <w:pStyle w:val="Heading1"/>
      </w:pPr>
      <w:bookmarkStart w:id="22" w:name="уровень-техники"/>
      <w:r>
        <w:t xml:space="preserve">Уровень техники</w:t>
      </w:r>
      <w:bookmarkEnd w:id="22"/>
    </w:p>
    <w:p>
      <w:pPr>
        <w:pStyle w:val="FirstParagraph"/>
      </w:pPr>
      <w:r>
        <w:t xml:space="preserve">Известен способ подавления активной помехи (прототип RU2549375C1), основанный на приёме излучения источника помех по двум каналам — основному и вспомогательному — и вычислении корреляции между ними для компенсации помехи в главном луче. Прототип рассчитан на геометрию отдельного постановщика помех и не содержит структурного различителя «истинная цель / ложная цель»: при самоприкрытии, когда помеха излучается с носителя самой цели, отклик ретранслятора структурно не отличается от отражения цели, и прототип задачу не решает.</w:t>
      </w:r>
    </w:p>
    <w:p>
      <w:pPr>
        <w:pStyle w:val="BodyText"/>
      </w:pPr>
      <w:r>
        <w:t xml:space="preserve">Известны также нейросетевые классификаторы радиолокационных данных на трёхмерном массиве «дальность–угол–скорость» (US10962637B2, US12181562), когнитивные планировщики распределения радиолокационного ресурса (US11747438), формирование азимут-угломестной картины преобразованием Фурье по бинам дальности (EP0097490A2) и GPU-ускоренная обработка радиолокационных данных (CN101441271A). Каждое из этих решений по отдельности не обеспечивает распознавания истинной цели при самоприкрытии.</w:t>
      </w:r>
    </w:p>
    <w:p>
      <w:pPr>
        <w:pStyle w:val="Heading1"/>
      </w:pPr>
      <w:bookmarkStart w:id="23" w:name="раскрытие-сущности-изобретения"/>
      <w:r>
        <w:t xml:space="preserve">Раскрытие сущности изобретения</w:t>
      </w:r>
      <w:bookmarkEnd w:id="23"/>
    </w:p>
    <w:p>
      <w:pPr>
        <w:pStyle w:val="FirstParagraph"/>
      </w:pPr>
      <w:r>
        <w:rPr>
          <w:b/>
        </w:rPr>
        <w:t xml:space="preserve">Решаемая задача</w:t>
      </w:r>
      <w:r>
        <w:t xml:space="preserve"> </w:t>
      </w:r>
      <w:r>
        <w:t xml:space="preserve">— надёжное распознавание истинной цели на фоне самоприкрывающей ретрансляционной помехи (гребёнка ложных целей, размытие спектра, заградка, сторонний источник) при ограниченной латентности обработки.</w:t>
      </w:r>
    </w:p>
    <w:p>
      <w:pPr>
        <w:pStyle w:val="BodyText"/>
      </w:pPr>
      <w:r>
        <w:rPr>
          <w:b/>
        </w:rPr>
        <w:t xml:space="preserve">Технический результат</w:t>
      </w:r>
      <w:r>
        <w:t xml:space="preserve"> </w:t>
      </w:r>
      <w:r>
        <w:t xml:space="preserve">— повышение достоверности распознавания истинной цели и снижение вычислительных затрат за счёт сведения большого объёма данных к компактной матрице токенов и применения причинностного физического арбитра.</w:t>
      </w:r>
    </w:p>
    <w:p>
      <w:pPr>
        <w:pStyle w:val="BodyText"/>
      </w:pPr>
      <w:r>
        <w:t xml:space="preserve">Технический результат достигается</w:t>
      </w:r>
      <w:r>
        <w:t xml:space="preserve"> </w:t>
      </w:r>
      <w:r>
        <w:rPr>
          <w:b/>
        </w:rPr>
        <w:t xml:space="preserve">совокупностью признаков</w:t>
      </w:r>
      <w:r>
        <w:t xml:space="preserve">, работающих за каждый рабочий такт:</w:t>
      </w:r>
    </w:p>
    <w:p>
      <w:pPr>
        <w:numPr>
          <w:ilvl w:val="0"/>
          <w:numId w:val="1001"/>
        </w:numPr>
        <w:pStyle w:val="Compact"/>
      </w:pPr>
      <w:r>
        <w:t xml:space="preserve">излучение широкого линейно-частотно-модулированного (ЛЧМ) зондирующего сигнала и формирование объёма «апертура×апертура×дальность» размерности 16×16×N (N — переменная величина такта)</w:t>
      </w:r>
      <w:r>
        <w:t xml:space="preserve"> </w:t>
      </w:r>
      <w:r>
        <w:rPr>
          <w:b/>
        </w:rPr>
        <w:t xml:space="preserve">двумя раздельными преобразованиями Фурье</w:t>
      </w:r>
      <w:r>
        <w:t xml:space="preserve"> </w:t>
      </w:r>
      <w:r>
        <w:t xml:space="preserve">— глобальным дальностным и поячеечным угловым 16×16;</w:t>
      </w:r>
    </w:p>
    <w:p>
      <w:pPr>
        <w:numPr>
          <w:ilvl w:val="0"/>
          <w:numId w:val="1001"/>
        </w:numPr>
        <w:pStyle w:val="Compact"/>
      </w:pPr>
      <w:r>
        <w:t xml:space="preserve">замена полной угловой карты каждого среза дальности</w:t>
      </w:r>
      <w:r>
        <w:t xml:space="preserve"> </w:t>
      </w:r>
      <w:r>
        <w:rPr>
          <w:b/>
        </w:rPr>
        <w:t xml:space="preserve">структурным токеном</w:t>
      </w:r>
      <w:r>
        <w:t xml:space="preserve"> </w:t>
      </w:r>
      <w:r>
        <w:t xml:space="preserve">из ограниченного числа наиболее ярких угловых пиков и вектора</w:t>
      </w:r>
      <w:r>
        <w:t xml:space="preserve"> </w:t>
      </w:r>
      <w:r>
        <w:rPr>
          <w:b/>
        </w:rPr>
        <w:t xml:space="preserve">инвариантных к расщеплению (страддлу) признаков</w:t>
      </w:r>
      <w:r>
        <w:t xml:space="preserve"> </w:t>
      </w:r>
      <w:r>
        <w:t xml:space="preserve">распределения энергии;</w:t>
      </w:r>
    </w:p>
    <w:p>
      <w:pPr>
        <w:numPr>
          <w:ilvl w:val="0"/>
          <w:numId w:val="1001"/>
        </w:numPr>
        <w:pStyle w:val="Compact"/>
      </w:pPr>
      <w:r>
        <w:t xml:space="preserve">классификация срезов нейросетевым</w:t>
      </w:r>
      <w:r>
        <w:t xml:space="preserve"> </w:t>
      </w:r>
      <w:r>
        <w:rPr>
          <w:b/>
        </w:rPr>
        <w:t xml:space="preserve">гейтом</w:t>
      </w:r>
      <w:r>
        <w:t xml:space="preserve"> </w:t>
      </w:r>
      <w:r>
        <w:t xml:space="preserve">при вынесении окончательной метки «истинная/ложная цель»</w:t>
      </w:r>
      <w:r>
        <w:t xml:space="preserve"> </w:t>
      </w:r>
      <w:r>
        <w:rPr>
          <w:b/>
        </w:rPr>
        <w:t xml:space="preserve">причинностным физическим арбитром</w:t>
      </w:r>
      <w:r>
        <w:t xml:space="preserve"> </w:t>
      </w:r>
      <w:r>
        <w:t xml:space="preserve">— по правилу ближнего по дальности члена причинностной группы (передний край, τ ≥ 0) и/или согласования отклика с текущим кодом зондирования;</w:t>
      </w:r>
    </w:p>
    <w:p>
      <w:pPr>
        <w:numPr>
          <w:ilvl w:val="0"/>
          <w:numId w:val="1001"/>
        </w:numPr>
        <w:pStyle w:val="Compact"/>
      </w:pPr>
      <w:r>
        <w:t xml:space="preserve">формирование целеуказания по матрице токенов и излучение в выбранные площади</w:t>
      </w:r>
      <w:r>
        <w:t xml:space="preserve"> </w:t>
      </w:r>
      <w:r>
        <w:rPr>
          <w:b/>
        </w:rPr>
        <w:t xml:space="preserve">многолучевого агильного фазоманипулированного зонда FM-m</w:t>
      </w:r>
      <w:r>
        <w:t xml:space="preserve"> </w:t>
      </w:r>
      <w:r>
        <w:t xml:space="preserve">с кодом переменной длины 2ⁿ, меняющимся от такта к такту.</w:t>
      </w:r>
    </w:p>
    <w:p>
      <w:pPr>
        <w:pStyle w:val="FirstParagraph"/>
      </w:pPr>
      <w:r>
        <w:t xml:space="preserve">Ни один из признаков 1–4 по отдельности не обеспечивает технический результат; он достигается их совокупностью.</w:t>
      </w:r>
    </w:p>
    <w:p>
      <w:pPr>
        <w:pStyle w:val="Heading1"/>
      </w:pPr>
      <w:bookmarkStart w:id="24" w:name="перечень-фигур"/>
      <w:r>
        <w:t xml:space="preserve">Перечень фигур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Фиг. 1 — схема формирования объёма 16×16×N двумя раздельными преобразованиями Фурье.</w:t>
      </w:r>
    </w:p>
    <w:p>
      <w:pPr>
        <w:numPr>
          <w:ilvl w:val="0"/>
          <w:numId w:val="1002"/>
        </w:numPr>
        <w:pStyle w:val="Compact"/>
      </w:pPr>
      <w:r>
        <w:t xml:space="preserve">Фиг. 2 — угловая карта и вектор инвариантных признаков для трёх классов среза.</w:t>
      </w:r>
    </w:p>
    <w:p>
      <w:pPr>
        <w:numPr>
          <w:ilvl w:val="0"/>
          <w:numId w:val="1002"/>
        </w:numPr>
        <w:pStyle w:val="Compact"/>
      </w:pPr>
      <w:r>
        <w:t xml:space="preserve">Фиг. 3 — устойчивость признаков к расщеплению (страддлу).</w:t>
      </w:r>
    </w:p>
    <w:p>
      <w:pPr>
        <w:numPr>
          <w:ilvl w:val="0"/>
          <w:numId w:val="1002"/>
        </w:numPr>
        <w:pStyle w:val="Compact"/>
      </w:pPr>
      <w:r>
        <w:t xml:space="preserve">Фиг. 4 — структурный токен и сборка токенов по дальности.</w:t>
      </w:r>
    </w:p>
    <w:p>
      <w:pPr>
        <w:pStyle w:val="FirstParagraph"/>
      </w:pPr>
      <w:r>
        <w:rPr>
          <w:i/>
        </w:rPr>
        <w:t xml:space="preserve">(Чертежи прилагаются отдельно; для целей формулы не обязательны.)</w:t>
      </w:r>
    </w:p>
    <w:p>
      <w:pPr>
        <w:pStyle w:val="Heading1"/>
      </w:pPr>
      <w:bookmarkStart w:id="25" w:name="осуществление-изобретения"/>
      <w:r>
        <w:t xml:space="preserve">Осуществление изобретения</w:t>
      </w:r>
      <w:bookmarkEnd w:id="25"/>
    </w:p>
    <w:p>
      <w:pPr>
        <w:pStyle w:val="FirstParagraph"/>
      </w:pPr>
      <w:r>
        <w:rPr>
          <w:b/>
        </w:rPr>
        <w:t xml:space="preserve">Тракт приёма.</w:t>
      </w:r>
      <w:r>
        <w:t xml:space="preserve"> </w:t>
      </w:r>
      <w:r>
        <w:t xml:space="preserve">АФАР → АЦП → гетеродин-дечирп на ПЛИС (stretch-processing) → комплексные IQ. Дечирп превращает задержку цели в постоянную частоту биений (</w:t>
      </w:r>
      <w:r>
        <w:rPr>
          <w:rStyle w:val="VerbatimChar"/>
        </w:rPr>
        <w:t xml:space="preserve">f_b = μ·2R/c</w:t>
      </w:r>
      <w:r>
        <w:t xml:space="preserve">,</w:t>
      </w:r>
      <w:r>
        <w:t xml:space="preserve"> </w:t>
      </w:r>
      <w:r>
        <w:rPr>
          <w:rStyle w:val="VerbatimChar"/>
        </w:rPr>
        <w:t xml:space="preserve">μ = ΔF/T_c</w:t>
      </w:r>
      <w:r>
        <w:t xml:space="preserve">); за такт формируется N комплексных отсчётов, N переменна.</w:t>
      </w:r>
    </w:p>
    <w:p>
      <w:pPr>
        <w:pStyle w:val="BodyText"/>
      </w:pPr>
      <w:r>
        <w:rPr>
          <w:b/>
        </w:rPr>
        <w:t xml:space="preserve">Формирование объёма (два FFT).</w:t>
      </w:r>
      <w:r>
        <w:t xml:space="preserve"> </w:t>
      </w:r>
      <w:r>
        <w:t xml:space="preserve">Глобальным дальностным преобразованием Фурье по оси быстрого времени биения переводятся в дальность (ось Z становится дальностью, N бинов). Затем на каждом бине дальности выполняется поячеечное угловое преобразование 16×16 на матричных (тензорных) блоках; магнитуда</w:t>
      </w:r>
      <w:r>
        <w:t xml:space="preserve"> </w:t>
      </w:r>
      <w:r>
        <w:rPr>
          <w:rStyle w:val="VerbatimChar"/>
        </w:rPr>
        <w:t xml:space="preserve">|·|²</w:t>
      </w:r>
      <w:r>
        <w:t xml:space="preserve"> </w:t>
      </w:r>
      <w:r>
        <w:t xml:space="preserve">с fftshift берётся только после углового преобразования. Разрешение по дальности</w:t>
      </w:r>
      <w:r>
        <w:t xml:space="preserve"> </w:t>
      </w:r>
      <w:r>
        <w:rPr>
          <w:rStyle w:val="VerbatimChar"/>
        </w:rPr>
        <w:t xml:space="preserve">Δr = c/(2·ΔF)</w:t>
      </w:r>
      <w:r>
        <w:t xml:space="preserve">; угловая шкала</w:t>
      </w:r>
      <w:r>
        <w:t xml:space="preserve"> </w:t>
      </w:r>
      <w:r>
        <w:rPr>
          <w:rStyle w:val="VerbatimChar"/>
        </w:rPr>
        <w:t xml:space="preserve">sinθ = k/8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d = λ/2</w:t>
      </w:r>
      <w:r>
        <w:t xml:space="preserve">.</w:t>
      </w:r>
    </w:p>
    <w:p>
      <w:pPr>
        <w:pStyle w:val="BodyText"/>
      </w:pPr>
      <w:r>
        <w:rPr>
          <w:b/>
        </w:rPr>
        <w:t xml:space="preserve">Токенизация.</w:t>
      </w:r>
      <w:r>
        <w:t xml:space="preserve"> </w:t>
      </w:r>
      <w:r>
        <w:t xml:space="preserve">Полная угловая карта (256 = 16×16 ячеек) заменяется структурным токеном: массив до пяти наиболее ярких пиков</w:t>
      </w:r>
      <w:r>
        <w:t xml:space="preserve"> </w:t>
      </w:r>
      <w:r>
        <w:rPr>
          <w:rStyle w:val="VerbatimChar"/>
        </w:rPr>
        <w:t xml:space="preserve">(k_x, k_y, амплитуда, кромка)</w:t>
      </w:r>
      <w:r>
        <w:t xml:space="preserve"> </w:t>
      </w:r>
      <w:r>
        <w:t xml:space="preserve">и вектор инвариантных к расщеплению признаков распределения энергии (пиковое отношение</w:t>
      </w:r>
      <w:r>
        <w:t xml:space="preserve"> </w:t>
      </w:r>
      <w:r>
        <w:rPr>
          <w:rStyle w:val="VerbatimChar"/>
        </w:rPr>
        <w:t xml:space="preserve">PR = (Σp)²/Σp²</w:t>
      </w:r>
      <w:r>
        <w:t xml:space="preserve">, мера разреженности Хойера, доля главного лепестка 3×3, интегральное отношение лепестков). Формирование, токенизация и классификация выполняются целиком в быстрой внутрикристальной памяти рабочей группы GPU без выгрузки во внешнюю память.</w:t>
      </w:r>
    </w:p>
    <w:p>
      <w:pPr>
        <w:pStyle w:val="BodyText"/>
      </w:pPr>
      <w:r>
        <w:rPr>
          <w:b/>
        </w:rPr>
        <w:t xml:space="preserve">Гейт и арбитр.</w:t>
      </w:r>
      <w:r>
        <w:t xml:space="preserve"> </w:t>
      </w:r>
      <w:r>
        <w:t xml:space="preserve">Классификатор (малая нейросеть 6→16→3) относит срез к классу состояния (шум/собранный/размазанный), выполняя функцию гейта и приоритизатора. Окончательную метку «истинная/ложная цель» выносит причинностный арбитр: истинная цель — ближний по дальности член причинностной группы (ретранслятор причинно только задерживает,</w:t>
      </w:r>
      <w:r>
        <w:t xml:space="preserve"> </w:t>
      </w:r>
      <w:r>
        <w:rPr>
          <w:rStyle w:val="VerbatimChar"/>
        </w:rPr>
        <w:t xml:space="preserve">τ ≥ 0</w:t>
      </w:r>
      <w:r>
        <w:t xml:space="preserve">, поэтому ложные отметки всегда дальше), и/или отклик, согласованный с текущим кодом зондирования (свежий непредсказуемый код не может быть подделан ретранслятором). Область применения — самозащитная (самоприкрывающая) помеха.</w:t>
      </w:r>
    </w:p>
    <w:p>
      <w:pPr>
        <w:pStyle w:val="BodyText"/>
      </w:pPr>
      <w:r>
        <w:rPr>
          <w:b/>
        </w:rPr>
        <w:t xml:space="preserve">Коррелятор FM-m.</w:t>
      </w:r>
      <w:r>
        <w:t xml:space="preserve"> </w:t>
      </w:r>
      <w:r>
        <w:t xml:space="preserve">Точечный многолучевой опрос реализуется корреляцией через БПФ:</w:t>
      </w:r>
      <w:r>
        <w:t xml:space="preserve"> </w:t>
      </w:r>
      <w:r>
        <w:rPr>
          <w:rStyle w:val="VerbatimChar"/>
        </w:rPr>
        <w:t xml:space="preserve">corr = IFFT(conj(FFT(ref))·FFT(inp))</w:t>
      </w:r>
      <w:r>
        <w:t xml:space="preserve">,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, для S лучей против K гипотез задержки текущего кода одновременно, в двух потоках GPU с батчингом по свободной памяти; на выходе IFFT ядро токенизации извлекает 3–5 наибольших значений отклика.</w:t>
      </w:r>
    </w:p>
    <w:p>
      <w:pPr>
        <w:pStyle w:val="BodyText"/>
      </w:pPr>
      <w:r>
        <w:rPr>
          <w:b/>
        </w:rPr>
        <w:t xml:space="preserve">Глубокий добор (L3).</w:t>
      </w:r>
      <w:r>
        <w:t xml:space="preserve"> </w:t>
      </w:r>
      <w:r>
        <w:t xml:space="preserve">На трудных кандидатах с нерегулярной структурой применяется резидентная последовательностная нейросеть (LSTM/GRU) над потоком токенов области интереса, уточняющая угол и тонкую дальность; окончательное подтверждение — код-корреляцией FM-m.</w:t>
      </w:r>
    </w:p>
    <w:p>
      <w:pPr>
        <w:pStyle w:val="BodyText"/>
      </w:pPr>
      <w:r>
        <w:rPr>
          <w:b/>
        </w:rPr>
        <w:t xml:space="preserve">Целеуказание.</w:t>
      </w:r>
      <w:r>
        <w:t xml:space="preserve"> </w:t>
      </w:r>
      <w:r>
        <w:t xml:space="preserve">По матрице токенов формируется целеуказание (номер бина дальности, тонкая дальность интерполяцией пика, углы) и излучается многолучевой агильный зонд FM-m в интересуемые площади. Когнитивная петля: обнаружил широко (ЛЧМ) → дал точки (токены) → зондировал точечно (FM-m) → пауза → соседние площади.</w:t>
      </w:r>
    </w:p>
    <w:p>
      <w:pPr>
        <w:pStyle w:val="BodyText"/>
      </w:pPr>
      <w:r>
        <w:rPr>
          <w:b/>
        </w:rPr>
        <w:t xml:space="preserve">Устойчивость.</w:t>
      </w:r>
      <w:r>
        <w:t xml:space="preserve"> </w:t>
      </w:r>
      <w:r>
        <w:t xml:space="preserve">Причинность неподделываема (враг не ответит кодом, которого не слышал, и не поставит ложную цель ближе истинной); анти-затопление ограничивает латентность потолком кандидатов и приоритетом по инвариантному скору; устойчивое обнаружение — OS-CFAR по угловой координате; заградительный шум обнаруживается как класс «размазанный» и не подтверждается код-корреляцией.</w:t>
      </w:r>
    </w:p>
    <w:p>
      <w:pPr>
        <w:pStyle w:val="Heading1"/>
      </w:pPr>
      <w:bookmarkStart w:id="26" w:name="формула-изобретения"/>
      <w:r>
        <w:t xml:space="preserve">Формула изобретения</w:t>
      </w:r>
      <w:bookmarkEnd w:id="26"/>
    </w:p>
    <w:p>
      <w:pPr>
        <w:pStyle w:val="FirstParagraph"/>
      </w:pPr>
      <w:r>
        <w:rPr>
          <w:b/>
        </w:rPr>
        <w:t xml:space="preserve">1.</w:t>
      </w:r>
      <w:r>
        <w:t xml:space="preserve"> </w:t>
      </w:r>
      <w:r>
        <w:t xml:space="preserve">Способ распознавания истинной цели на фоне самоприкрывающей ретрансляционной помехи и целеуказания в моностатическом радаре с активной фазированной антенной решёткой, включающий излучение зондирующего сигнала, приём отражённого сигнала элементами решётки, преобразование Фурье принятого сигнала и обнаружение целей,</w:t>
      </w:r>
      <w:r>
        <w:t xml:space="preserve"> </w:t>
      </w:r>
      <w:r>
        <w:rPr>
          <w:b/>
        </w:rPr>
        <w:t xml:space="preserve">отличающийся тем, что</w:t>
      </w:r>
      <w:r>
        <w:t xml:space="preserve"> </w:t>
      </w:r>
      <w:r>
        <w:t xml:space="preserve">за каждый рабочий такт: (а) излучают широкий линейно-частотно-модулированный сигнал, после гетеродинного сжатия получают N комплексных отсчётов при переменной N и формируют массив «апертура×апертура×дальность» размерности 16×16×N двумя раздельными преобразованиями Фурье — глобальным дальностным и поячеечным угловым 16×16; (б) для каждого среза дальности заменяют полную угловую карту структурным токеном из ограниченного числа наиболее ярких угловых пиков и вектора инвариантных к расщеплению признаков распределения энергии; (в) классификатором относят срез к классу состояния, причём классификатор выполняет функцию гейта, а принадлежность отклика истинной либо ложной цели устанавливают по правилу ближнего по дальности члена причинностной группы (τ ≥ 0) и/или согласования отклика с текущим кодом зондирования; (г) по совокупности токенов формируют целеуказание и излучают в выбранное направление точечный фазоманипулированный зондирующий сигнал с агильным кодом переменной длины 2ⁿ, дополняемой нулями до размера преобразования Фурье, причём код меняется от такта к такту.</w:t>
      </w:r>
    </w:p>
    <w:p>
      <w:pPr>
        <w:pStyle w:val="BodyText"/>
      </w:pPr>
      <w:r>
        <w:rPr>
          <w:b/>
        </w:rPr>
        <w:t xml:space="preserve">2.</w:t>
      </w:r>
      <w:r>
        <w:t xml:space="preserve"> </w:t>
      </w:r>
      <w:r>
        <w:t xml:space="preserve">Способ по п.1, отличающийся тем, что вектор признаков включает пиковое отношение</w:t>
      </w:r>
      <w:r>
        <w:t xml:space="preserve"> </w:t>
      </w:r>
      <w:r>
        <w:rPr>
          <w:rStyle w:val="VerbatimChar"/>
        </w:rPr>
        <w:t xml:space="preserve">PR = (Σp)²/Σp²</w:t>
      </w:r>
      <w:r>
        <w:t xml:space="preserve">, меру разреженности Хойера, долю энергии главного лепестка в окне 3×3 и интегральное отношение главного лепестка к боковым.</w:t>
      </w:r>
    </w:p>
    <w:p>
      <w:pPr>
        <w:pStyle w:val="BodyText"/>
      </w:pPr>
      <w:r>
        <w:rPr>
          <w:b/>
        </w:rPr>
        <w:t xml:space="preserve">3.</w:t>
      </w:r>
      <w:r>
        <w:t xml:space="preserve"> </w:t>
      </w:r>
      <w:r>
        <w:t xml:space="preserve">Способ по п.1, отличающийся тем, что структурный токен содержит до пяти наиболее ярких пиков, каждый из которых задан угловыми координатами, амплитудой и признаком кромки; массив пиков упорядочен по углу, а сборка токенов ведётся по дальности.</w:t>
      </w:r>
    </w:p>
    <w:p>
      <w:pPr>
        <w:pStyle w:val="BodyText"/>
      </w:pPr>
      <w:r>
        <w:rPr>
          <w:b/>
        </w:rPr>
        <w:t xml:space="preserve">4.</w:t>
      </w:r>
      <w:r>
        <w:t xml:space="preserve"> </w:t>
      </w:r>
      <w:r>
        <w:t xml:space="preserve">Способ по п.1, отличающийся тем, что причинностный арбитр применяют в области самозащитной помехи, а уводящую помеху на ином носителе разделяют по свежести кода зондирования и угловому разнесению.</w:t>
      </w:r>
    </w:p>
    <w:p>
      <w:pPr>
        <w:pStyle w:val="BodyText"/>
      </w:pPr>
      <w:r>
        <w:rPr>
          <w:b/>
        </w:rPr>
        <w:t xml:space="preserve">5.</w:t>
      </w:r>
      <w:r>
        <w:t xml:space="preserve"> </w:t>
      </w:r>
      <w:r>
        <w:t xml:space="preserve">Способ по п.1, отличающийся тем, что корреляцию с кодом зондирования выполняют через быстрое преобразование Фурье по k сопряжённым опорам текущего кода с батчингом по свободной памяти графического процессора.</w:t>
      </w:r>
    </w:p>
    <w:p>
      <w:pPr>
        <w:pStyle w:val="BodyText"/>
      </w:pPr>
      <w:r>
        <w:rPr>
          <w:b/>
        </w:rPr>
        <w:t xml:space="preserve">6.</w:t>
      </w:r>
      <w:r>
        <w:t xml:space="preserve"> </w:t>
      </w:r>
      <w:r>
        <w:t xml:space="preserve">Способ по п.5, отличающийся тем, что на выходе обратного преобразования Фурье коррелятора формируют вторичный набор токенов из 3–5 наибольших значений отклика.</w:t>
      </w:r>
    </w:p>
    <w:p>
      <w:pPr>
        <w:pStyle w:val="BodyText"/>
      </w:pPr>
      <w:r>
        <w:rPr>
          <w:b/>
        </w:rPr>
        <w:t xml:space="preserve">7.</w:t>
      </w:r>
      <w:r>
        <w:t xml:space="preserve"> </w:t>
      </w:r>
      <w:r>
        <w:t xml:space="preserve">Способ по п.1, отличающийся тем, что на трудных кандидатах с нерегулярной структурой дополнительно применяют резидентную последовательностную нейронную сеть (LSTM/GRU) над потоком токенов области интереса, уточняющую угол и тонкую дальность, с подтверждением код-корреляцией; альтернативно — объёмную нейронную сеть на сыром патче 16×16×(32/64/256).</w:t>
      </w:r>
    </w:p>
    <w:p>
      <w:pPr>
        <w:pStyle w:val="BodyText"/>
      </w:pPr>
      <w:r>
        <w:rPr>
          <w:b/>
        </w:rPr>
        <w:t xml:space="preserve">8.</w:t>
      </w:r>
      <w:r>
        <w:t xml:space="preserve"> </w:t>
      </w:r>
      <w:r>
        <w:t xml:space="preserve">Способ по п.1, отличающийся тем, что устойчивое обнаружение на угловой карте выполняют посредством CFAR порядковой статистики по угловой координате.</w:t>
      </w:r>
    </w:p>
    <w:p>
      <w:pPr>
        <w:pStyle w:val="BodyText"/>
      </w:pPr>
      <w:r>
        <w:rPr>
          <w:b/>
        </w:rPr>
        <w:t xml:space="preserve">9.</w:t>
      </w:r>
      <w:r>
        <w:t xml:space="preserve"> </w:t>
      </w:r>
      <w:r>
        <w:t xml:space="preserve">Способ по п.1, отличающийся тем, что формирование углового среза, свёртку среза в токен и классификацию выполняют целиком в быстрой внутрикристальной памяти рабочей группы графического процессора, а угловое преобразование 16×16 — на матричных (тензорных) вычислительных блоках.</w:t>
      </w:r>
    </w:p>
    <w:p>
      <w:pPr>
        <w:pStyle w:val="BodyText"/>
      </w:pPr>
      <w:r>
        <w:rPr>
          <w:b/>
        </w:rPr>
        <w:t xml:space="preserve">10.</w:t>
      </w:r>
      <w:r>
        <w:t xml:space="preserve"> </w:t>
      </w:r>
      <w:r>
        <w:t xml:space="preserve">Устройство распознавания истинной цели и целеуказания, содержащее активную фазированную антенную решётку, аналого-цифровой тракт с гетеродинным сжатием и вычислитель на графическом процессоре,</w:t>
      </w:r>
      <w:r>
        <w:t xml:space="preserve"> </w:t>
      </w:r>
      <w:r>
        <w:rPr>
          <w:b/>
        </w:rPr>
        <w:t xml:space="preserve">отличающееся тем, что</w:t>
      </w:r>
      <w:r>
        <w:t xml:space="preserve"> </w:t>
      </w:r>
      <w:r>
        <w:t xml:space="preserve">вычислитель выполнен с возможностью формирования массива 16×16×N двумя раздельными преобразованиями Фурье, свёртки каждого среза дальности в структурный токен из инвариантных к расщеплению признаков и причинностного арбитража «истинная/ложная цель» по правилу ближнего края и/или согласования с текущим кодом, и содержащее формирователь агильного фазоманипулированного зондирующего сигнала переменной длины 2ⁿ, управляемый по матрице токенов для целеуказания.</w:t>
      </w:r>
    </w:p>
    <w:p>
      <w:pPr>
        <w:pStyle w:val="BodyText"/>
      </w:pPr>
      <w:r>
        <w:rPr>
          <w:b/>
        </w:rPr>
        <w:t xml:space="preserve">11.</w:t>
      </w:r>
      <w:r>
        <w:t xml:space="preserve"> </w:t>
      </w:r>
      <w:r>
        <w:t xml:space="preserve">Устройство по п.10, отличающееся тем, что формирователь строит код переменной длины от 2⁸ до 2²⁰, меняющийся от такта к такту.</w:t>
      </w:r>
    </w:p>
    <w:p>
      <w:pPr>
        <w:pStyle w:val="BodyText"/>
      </w:pPr>
      <w:r>
        <w:rPr>
          <w:b/>
        </w:rPr>
        <w:t xml:space="preserve">12.</w:t>
      </w:r>
      <w:r>
        <w:t xml:space="preserve"> </w:t>
      </w:r>
      <w:r>
        <w:t xml:space="preserve">Устройство по п.10, отличающееся тем, что вычислитель реализует коррелятор на библиотеке hipFFT/ROCm с двухпоточным конвейером и батчингом по свободной памяти.</w:t>
      </w:r>
    </w:p>
    <w:p>
      <w:pPr>
        <w:pStyle w:val="BodyText"/>
      </w:pPr>
      <w:r>
        <w:rPr>
          <w:b/>
        </w:rPr>
        <w:t xml:space="preserve">13.</w:t>
      </w:r>
      <w:r>
        <w:t xml:space="preserve"> </w:t>
      </w:r>
      <w:r>
        <w:t xml:space="preserve">Устройство по п.10, отличающееся тем, что вычислитель выполняет угловое преобразование 16×16 и классификацию в памяти рабочей группы на матричных вычислительных блоках.</w:t>
      </w:r>
    </w:p>
    <w:p>
      <w:pPr>
        <w:pStyle w:val="BodyText"/>
      </w:pPr>
      <w:r>
        <w:rPr>
          <w:b/>
        </w:rPr>
        <w:t xml:space="preserve">14.</w:t>
      </w:r>
      <w:r>
        <w:t xml:space="preserve"> </w:t>
      </w:r>
      <w:r>
        <w:t xml:space="preserve">Устройство по п.10, отличающееся тем, что содержит канал широкого ЛЧМ-обзора для грубого целеуказания, гейтящего точечный фазоманипулированный зонд.</w:t>
      </w:r>
    </w:p>
    <w:p>
      <w:pPr>
        <w:pStyle w:val="Heading1"/>
      </w:pPr>
      <w:bookmarkStart w:id="27" w:name="реферат"/>
      <w:r>
        <w:t xml:space="preserve">Реферат</w:t>
      </w:r>
      <w:bookmarkEnd w:id="27"/>
    </w:p>
    <w:p>
      <w:pPr>
        <w:pStyle w:val="FirstParagraph"/>
      </w:pPr>
      <w:r>
        <w:t xml:space="preserve">Способ и устройство распознавания истинной цели на фоне самоприкрывающей ретрансляционной (DRFM) помехи в моностатическом радаре с АФАР. За каждый такт широкий ЛЧМ-сигнал формирует объём «апертура×апертура×дальность» 16×16×N двумя раздельными преобразованиями Фурье; каждый срез дальности сворачивается в компактный структурный токен из наиболее ярких угловых пиков и инвариантных к расщеплению признаков; нейросетевой гейт классифицирует срезы, а окончательную метку «истинная/ложная цель» выносит причинностный арбитр по правилу ближнего края (τ ≥ 0) и/или согласования с текущим кодом; по матрице токенов формируется целеуказание и излучается многолучевой агильный зонд FM-m с кодом переменной длины. Достигается повышение достоверности распознавания при самоприкрытии и снижение вычислительных затрат.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Способ и устройство распознавания цели на фоне самоприкрывающих помех</dc:title>
  <dc:creator/>
  <cp:keywords/>
  <dcterms:created xsi:type="dcterms:W3CDTF">2026-07-08T19:38:34Z</dcterms:created>
  <dcterms:modified xsi:type="dcterms:W3CDTF">2026-07-08T19:38:34Z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