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2026-09-25</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However, it remains unclear how such prior-like action tendencies are structured in complex sequential decision-making tasks and whether their uncertainty determines reliance on forward planning. In particular, it is unknown whether agents can exploit multiple features of the task to form structured preferences that regulate the influence of planning-derived values. 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previously published dataset in which participants (N=40) performed a sequential decision-making task with a large state space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On each trial, participants chose whether to accept or reject an offer worth 1-4 points. Accepting an offer yielded its reward but incurred and energy cost of 1 or 2 points, whereas rejecting yielded no reward but replenished 1 energy point. Costs remained fixed within blocks of four trials (segments), and participants were informed of both the current and the upcoming segment’s cost. Each trial was therefore defined by a combination of four task factors (offer value, energy level, current cost, and future cost), all of which must be integrated to maximize return. This makes the dataset well suited to test our prediction that participants combine forward 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a total of 332.43</w:t>
      </w:r>
      <w:r>
        <w:t xml:space="preserve"> </w:t>
      </w:r>
      <m:oMath>
        <m:r>
          <m:rPr>
            <m:sty m:val="p"/>
          </m:rPr>
          <m:t>±</m:t>
        </m:r>
      </m:oMath>
      <w:r>
        <w:t xml:space="preserve"> </w:t>
      </w:r>
      <w:r>
        <w:t xml:space="preserve">6.64 points throughout the experiment.</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testing whether deviations are unsystematic noise. The three other models differed in how they accounted for deviations from this benchmark. The Frequency-prior model assumed deviations reflect a recency bias towards recently chosen actions. The Offer-context model, previously found to account the best for the observed data among 21 competing models by</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 (see</w:t>
      </w:r>
      <w:r>
        <w:t xml:space="preserve"> </w:t>
      </w:r>
      <w:hyperlink w:anchor="sec-choice-behavior-modeling-method">
        <w:r>
          <w:rPr>
            <w:rStyle w:val="Hyperlink"/>
          </w:rPr>
          <w:t xml:space="preserve">Section 4.3</w:t>
        </w:r>
      </w:hyperlink>
      <w:r>
        <w:t xml:space="preserve"> </w:t>
      </w:r>
      <w:r>
        <w:t xml:space="preserve">for a full description of our modeling approach).</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8402"/>
                  <wp:effectExtent b="0" l="0" r="0" t="0"/>
                  <wp:docPr descr="" title="" id="15" name="Picture"/>
                  <a:graphic>
                    <a:graphicData uri="http://schemas.openxmlformats.org/drawingml/2006/picture">
                      <pic:pic>
                        <pic:nvPicPr>
                          <pic:cNvPr descr="index_files/figure-docx/fig-choicemdl-output-2.png" id="16" name="Picture"/>
                          <pic:cNvPicPr>
                            <a:picLocks noChangeArrowheads="1" noChangeAspect="1"/>
                          </pic:cNvPicPr>
                        </pic:nvPicPr>
                        <pic:blipFill>
                          <a:blip r:embed="rId14"/>
                          <a:stretch>
                            <a:fillRect/>
                          </a:stretch>
                        </pic:blipFill>
                        <pic:spPr bwMode="auto">
                          <a:xfrm>
                            <a:off x="0" y="0"/>
                            <a:ext cx="5334000" cy="69284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Proportion of trials in which the model predicted responses match participants’ responses, separately for each model and offer level. Dots represent single participants modelled/observed match proportions.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=[0.31, 2.29]),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4915"/>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49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39174"/>
                  <wp:effectExtent b="0" l="0" r="0" t="0"/>
                  <wp:docPr descr="" title="" id="28" name="Picture"/>
                  <a:graphic>
                    <a:graphicData uri="http://schemas.openxmlformats.org/drawingml/2006/picture">
                      <pic:pic>
                        <pic:nvPicPr>
                          <pic:cNvPr descr="index_files/figure-docx/fig-task-features-output-2.png" id="29" name="Picture"/>
                          <pic:cNvPicPr>
                            <a:picLocks noChangeArrowheads="1" noChangeAspect="1"/>
                          </pic:cNvPicPr>
                        </pic:nvPicPr>
                        <pic:blipFill>
                          <a:blip r:embed="rId27"/>
                          <a:stretch>
                            <a:fillRect/>
                          </a:stretch>
                        </pic:blipFill>
                        <pic:spPr bwMode="auto">
                          <a:xfrm>
                            <a:off x="0" y="0"/>
                            <a:ext cx="5334000" cy="443917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w:t>
      </w:r>
      <w:r>
        <w:t xml:space="preserve">for more details).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SourceCode"/>
      </w:pPr>
      <w:r>
        <w:rPr>
          <w:rStyle w:val="VerbatimChar"/>
        </w:rPr>
        <w:t xml:space="preserve">A</w:t>
      </w:r>
    </w:p>
    <w:p>
      <w:pPr>
        <w:pStyle w:val="FirstParagraph"/>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1440"/>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144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 40 participants (22 female, mean age=24.4, SD=4.6)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r>
        <w:t xml:space="preserve"> </w:t>
      </w: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oMath>
      <w:r>
        <w:t xml:space="preserve"> </w:t>
      </w: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3"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2"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42"/>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3"/>
    <w:bookmarkStart w:id="46"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4"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3</m:t>
          </m:r>
          <m:r>
            <m:rPr>
              <m:sty m:val="p"/>
            </m:rPr>
            <m:t>)</m:t>
          </m:r>
        </m:oMath>
      </m:oMathPara>
      <w:bookmarkEnd w:id="44"/>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5"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45"/>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6"/>
    <w:bookmarkStart w:id="48"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7"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47"/>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8"/>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49"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6</m:t>
          </m:r>
          <m:r>
            <m:rPr>
              <m:sty m:val="p"/>
            </m:rPr>
            <m:t>)</m:t>
          </m:r>
        </m:oMath>
      </m:oMathPara>
      <w:bookmarkEnd w:id="49"/>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0"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50"/>
    </w:p>
    <w:p>
      <w:pPr>
        <w:pStyle w:val="FirstParagraph"/>
      </w:pPr>
      <w:r>
        <w:t xml:space="preserve">With:</w:t>
      </w:r>
    </w:p>
    <w:p>
      <w:pPr>
        <w:pStyle w:val="BodyText"/>
      </w:pPr>
      <w:bookmarkStart w:id="51"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51"/>
    </w:p>
    <w:p>
      <w:pPr>
        <w:pStyle w:val="FirstParagraph"/>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preference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p>
      <w:pPr>
        <w:pStyle w:val="FirstParagraph"/>
      </w:pPr>
      <w:r>
        <w:t xml:space="preserve">The authors thank Qian Chu for their valuable comments and suggestions. This work was funded by the German Research Foundation (DFG, Deutsche Forschungsgemeinschaft), Ref: KI 1638/5-1, project number: 538763959.</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495760"/>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49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-1657.96</w:t>
                  </w:r>
                </w:p>
              </w:tc>
              <w:tc>
                <w:tcPr/>
                <w:p>
                  <w:pPr>
                    <w:pStyle w:val="Compact"/>
                    <w:jc w:val="right"/>
                    <w:jc w:val="center"/>
                  </w:pPr>
                  <w:r>
                    <w:t xml:space="preserve">160.738</w:t>
                  </w:r>
                </w:p>
              </w:tc>
              <w:tc>
                <w:tcPr/>
                <w:p>
                  <w:pPr>
                    <w:pStyle w:val="Compact"/>
                    <w:jc w:val="right"/>
                    <w:jc w:val="center"/>
                  </w:pPr>
                  <w:r>
                    <w:t xml:space="preserve">165.486</w:t>
                  </w:r>
                </w:p>
              </w:tc>
              <w:tc>
                <w:tcPr/>
                <w:p>
                  <w:pPr>
                    <w:pStyle w:val="Compact"/>
                    <w:jc w:val="right"/>
                    <w:jc w:val="center"/>
                  </w:pPr>
                  <w:r>
                    <w:t xml:space="preserve">52.6188</w:t>
                  </w:r>
                </w:p>
              </w:tc>
              <w:tc>
                <w:tcPr/>
                <w:p>
                  <w:pPr>
                    <w:pStyle w:val="Compact"/>
                    <w:jc w:val="right"/>
                    <w:jc w:val="center"/>
                  </w:pPr>
                  <w:r>
                    <w:t xml:space="preserve">19.6029</w:t>
                  </w:r>
                </w:p>
              </w:tc>
            </w:tr>
            <w:tr>
              <w:tc>
                <w:tcPr/>
                <w:p>
                  <w:pPr>
                    <w:pStyle w:val="Compact"/>
                    <w:jc w:val="left"/>
                    <w:jc w:val="center"/>
                  </w:pPr>
                  <w:r>
                    <w:t xml:space="preserve">Frequency prior</w:t>
                  </w:r>
                </w:p>
              </w:tc>
              <w:tc>
                <w:tcPr/>
                <w:p>
                  <w:pPr>
                    <w:pStyle w:val="Compact"/>
                    <w:jc w:val="right"/>
                    <w:jc w:val="center"/>
                  </w:pPr>
                  <w:r>
                    <w:t xml:space="preserve">-2073.86</w:t>
                  </w:r>
                </w:p>
              </w:tc>
              <w:tc>
                <w:tcPr/>
                <w:p>
                  <w:pPr>
                    <w:pStyle w:val="Compact"/>
                    <w:jc w:val="right"/>
                    <w:jc w:val="center"/>
                  </w:pPr>
                  <w:r>
                    <w:t xml:space="preserve">77.4975</w:t>
                  </w:r>
                </w:p>
              </w:tc>
              <w:tc>
                <w:tcPr/>
                <w:p>
                  <w:pPr>
                    <w:pStyle w:val="Compact"/>
                    <w:jc w:val="right"/>
                    <w:jc w:val="center"/>
                  </w:pPr>
                  <w:r>
                    <w:t xml:space="preserve">581.384</w:t>
                  </w:r>
                </w:p>
              </w:tc>
              <w:tc>
                <w:tcPr/>
                <w:p>
                  <w:pPr>
                    <w:pStyle w:val="Compact"/>
                    <w:jc w:val="right"/>
                    <w:jc w:val="center"/>
                  </w:pPr>
                  <w:r>
                    <w:t xml:space="preserve">55.6579</w:t>
                  </w:r>
                </w:p>
              </w:tc>
              <w:tc>
                <w:tcPr/>
                <w:p>
                  <w:pPr>
                    <w:pStyle w:val="Compact"/>
                    <w:jc w:val="right"/>
                    <w:jc w:val="center"/>
                  </w:pPr>
                  <w:r>
                    <w:t xml:space="preserve">35.8832</w:t>
                  </w:r>
                </w:p>
              </w:tc>
            </w:tr>
            <w:tr>
              <w:tc>
                <w:tcPr/>
                <w:p>
                  <w:pPr>
                    <w:pStyle w:val="Compact"/>
                    <w:jc w:val="left"/>
                    <w:jc w:val="center"/>
                  </w:pPr>
                  <w:r>
                    <w:t xml:space="preserve">Planning</w:t>
                  </w:r>
                </w:p>
              </w:tc>
              <w:tc>
                <w:tcPr/>
                <w:p>
                  <w:pPr>
                    <w:pStyle w:val="Compact"/>
                    <w:jc w:val="right"/>
                    <w:jc w:val="center"/>
                  </w:pPr>
                  <w:r>
                    <w:t xml:space="preserve">-2078.76</w:t>
                  </w:r>
                </w:p>
              </w:tc>
              <w:tc>
                <w:tcPr/>
                <w:p>
                  <w:pPr>
                    <w:pStyle w:val="Compact"/>
                    <w:jc w:val="right"/>
                    <w:jc w:val="center"/>
                  </w:pPr>
                  <w:r>
                    <w:t xml:space="preserve">68.6015</w:t>
                  </w:r>
                </w:p>
              </w:tc>
              <w:tc>
                <w:tcPr/>
                <w:p>
                  <w:pPr>
                    <w:pStyle w:val="Compact"/>
                    <w:jc w:val="right"/>
                    <w:jc w:val="center"/>
                  </w:pPr>
                  <w:r>
                    <w:t xml:space="preserve">586.285</w:t>
                  </w:r>
                </w:p>
              </w:tc>
              <w:tc>
                <w:tcPr/>
                <w:p>
                  <w:pPr>
                    <w:pStyle w:val="Compact"/>
                    <w:jc w:val="right"/>
                    <w:jc w:val="center"/>
                  </w:pPr>
                  <w:r>
                    <w:t xml:space="preserve">55.5599</w:t>
                  </w:r>
                </w:p>
              </w:tc>
              <w:tc>
                <w:tcPr/>
                <w:p>
                  <w:pPr>
                    <w:pStyle w:val="Compact"/>
                    <w:jc w:val="right"/>
                    <w:jc w:val="center"/>
                  </w:pPr>
                  <w:r>
                    <w:t xml:space="preserve">36.001</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2.082</w:t>
                  </w:r>
                </w:p>
              </w:tc>
              <w:tc>
                <w:tcPr/>
                <w:p>
                  <w:pPr>
                    <w:pStyle w:val="Compact"/>
                    <w:jc w:val="right"/>
                    <w:jc w:val="center"/>
                  </w:pPr>
                  <w:r>
                    <w:t xml:space="preserve">0.248</w:t>
                  </w:r>
                </w:p>
              </w:tc>
              <w:tc>
                <w:tcPr/>
                <w:p>
                  <w:pPr>
                    <w:pStyle w:val="Compact"/>
                    <w:jc w:val="right"/>
                    <w:jc w:val="center"/>
                  </w:pPr>
                  <w:r>
                    <w:t xml:space="preserve">1.603</w:t>
                  </w:r>
                </w:p>
              </w:tc>
              <w:tc>
                <w:tcPr/>
                <w:p>
                  <w:pPr>
                    <w:pStyle w:val="Compact"/>
                    <w:jc w:val="right"/>
                    <w:jc w:val="center"/>
                  </w:pPr>
                  <w:r>
                    <w:t xml:space="preserve">2.577</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-2.371</w:t>
                  </w:r>
                </w:p>
              </w:tc>
              <w:tc>
                <w:tcPr/>
                <w:p>
                  <w:pPr>
                    <w:pStyle w:val="Compact"/>
                    <w:jc w:val="right"/>
                    <w:jc w:val="center"/>
                  </w:pPr>
                  <w:r>
                    <w:t xml:space="preserve">0.987</w:t>
                  </w:r>
                </w:p>
              </w:tc>
              <w:tc>
                <w:tcPr/>
                <w:p>
                  <w:pPr>
                    <w:pStyle w:val="Compact"/>
                    <w:jc w:val="right"/>
                    <w:jc w:val="center"/>
                  </w:pPr>
                  <w:r>
                    <w:t xml:space="preserve">-4.194</w:t>
                  </w:r>
                </w:p>
              </w:tc>
              <w:tc>
                <w:tcPr/>
                <w:p>
                  <w:pPr>
                    <w:pStyle w:val="Compact"/>
                    <w:jc w:val="right"/>
                    <w:jc w:val="center"/>
                  </w:pPr>
                  <w:r>
                    <w:t xml:space="preserve">-0.381</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-1.611</w:t>
                  </w:r>
                </w:p>
              </w:tc>
              <w:tc>
                <w:tcPr/>
                <w:p>
                  <w:pPr>
                    <w:pStyle w:val="Compact"/>
                    <w:jc w:val="right"/>
                    <w:jc w:val="center"/>
                  </w:pPr>
                  <w:r>
                    <w:t xml:space="preserve">0.955</w:t>
                  </w:r>
                </w:p>
              </w:tc>
              <w:tc>
                <w:tcPr/>
                <w:p>
                  <w:pPr>
                    <w:pStyle w:val="Compact"/>
                    <w:jc w:val="right"/>
                    <w:jc w:val="center"/>
                  </w:pPr>
                  <w:r>
                    <w:t xml:space="preserve">-3.537</w:t>
                  </w:r>
                </w:p>
              </w:tc>
              <w:tc>
                <w:tcPr/>
                <w:p>
                  <w:pPr>
                    <w:pStyle w:val="Compact"/>
                    <w:jc w:val="right"/>
                    <w:jc w:val="center"/>
                  </w:pPr>
                  <w:r>
                    <w:t xml:space="preserve">0.17</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1.656</w:t>
                  </w:r>
                </w:p>
              </w:tc>
              <w:tc>
                <w:tcPr/>
                <w:p>
                  <w:pPr>
                    <w:pStyle w:val="Compact"/>
                    <w:jc w:val="right"/>
                    <w:jc w:val="center"/>
                  </w:pPr>
                  <w:r>
                    <w:t xml:space="preserve">0.958</w:t>
                  </w:r>
                </w:p>
              </w:tc>
              <w:tc>
                <w:tcPr/>
                <w:p>
                  <w:pPr>
                    <w:pStyle w:val="Compact"/>
                    <w:jc w:val="right"/>
                    <w:jc w:val="center"/>
                  </w:pPr>
                  <w:r>
                    <w:t xml:space="preserve">-0.092</w:t>
                  </w:r>
                </w:p>
              </w:tc>
              <w:tc>
                <w:tcPr/>
                <w:p>
                  <w:pPr>
                    <w:pStyle w:val="Compact"/>
                    <w:jc w:val="right"/>
                    <w:jc w:val="center"/>
                  </w:pPr>
                  <w:r>
                    <w:t xml:space="preserve">3.611</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2.955</w:t>
                  </w:r>
                </w:p>
              </w:tc>
              <w:tc>
                <w:tcPr/>
                <w:p>
                  <w:pPr>
                    <w:pStyle w:val="Compact"/>
                    <w:jc w:val="right"/>
                    <w:jc w:val="center"/>
                  </w:pPr>
                  <w:r>
                    <w:t xml:space="preserve">0.985</w:t>
                  </w:r>
                </w:p>
              </w:tc>
              <w:tc>
                <w:tcPr/>
                <w:p>
                  <w:pPr>
                    <w:pStyle w:val="Compact"/>
                    <w:jc w:val="right"/>
                    <w:jc w:val="center"/>
                  </w:pPr>
                  <w:r>
                    <w:t xml:space="preserve">1.161</w:t>
                  </w:r>
                </w:p>
              </w:tc>
              <w:tc>
                <w:tcPr/>
                <w:p>
                  <w:pPr>
                    <w:pStyle w:val="Compact"/>
                    <w:jc w:val="right"/>
                    <w:jc w:val="center"/>
                  </w:pPr>
                  <w:r>
                    <w:t xml:space="preserve">4.979</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0.724</w:t>
                  </w:r>
                </w:p>
              </w:tc>
              <w:tc>
                <w:tcPr/>
                <w:p>
                  <w:pPr>
                    <w:pStyle w:val="Compact"/>
                    <w:jc w:val="right"/>
                    <w:jc w:val="center"/>
                  </w:pPr>
                  <w:r>
                    <w:t xml:space="preserve">1.166</w:t>
                  </w:r>
                </w:p>
              </w:tc>
              <w:tc>
                <w:tcPr/>
                <w:p>
                  <w:pPr>
                    <w:pStyle w:val="Compact"/>
                    <w:jc w:val="right"/>
                    <w:jc w:val="center"/>
                  </w:pPr>
                  <w:r>
                    <w:t xml:space="preserve">-1.592</w:t>
                  </w:r>
                </w:p>
              </w:tc>
              <w:tc>
                <w:tcPr/>
                <w:p>
                  <w:pPr>
                    <w:pStyle w:val="Compact"/>
                    <w:jc w:val="right"/>
                    <w:jc w:val="center"/>
                  </w:pPr>
                  <w:r>
                    <w:t xml:space="preserve">2.884</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-0.178</w:t>
                  </w:r>
                </w:p>
              </w:tc>
              <w:tc>
                <w:tcPr/>
                <w:p>
                  <w:pPr>
                    <w:pStyle w:val="Compact"/>
                    <w:jc w:val="right"/>
                    <w:jc w:val="center"/>
                  </w:pPr>
                  <w:r>
                    <w:t xml:space="preserve">1.164</w:t>
                  </w:r>
                </w:p>
              </w:tc>
              <w:tc>
                <w:tcPr/>
                <w:p>
                  <w:pPr>
                    <w:pStyle w:val="Compact"/>
                    <w:jc w:val="right"/>
                    <w:jc w:val="center"/>
                  </w:pPr>
                  <w:r>
                    <w:t xml:space="preserve">-2.516</w:t>
                  </w:r>
                </w:p>
              </w:tc>
              <w:tc>
                <w:tcPr/>
                <w:p>
                  <w:pPr>
                    <w:pStyle w:val="Compact"/>
                    <w:jc w:val="right"/>
                    <w:jc w:val="center"/>
                  </w:pPr>
                  <w:r>
                    <w:t xml:space="preserve">1.955</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0.416</w:t>
                  </w:r>
                </w:p>
              </w:tc>
              <w:tc>
                <w:tcPr/>
                <w:p>
                  <w:pPr>
                    <w:pStyle w:val="Compact"/>
                    <w:jc w:val="right"/>
                    <w:jc w:val="center"/>
                  </w:pPr>
                  <w:r>
                    <w:t xml:space="preserve">1.165</w:t>
                  </w:r>
                </w:p>
              </w:tc>
              <w:tc>
                <w:tcPr/>
                <w:p>
                  <w:pPr>
                    <w:pStyle w:val="Compact"/>
                    <w:jc w:val="right"/>
                    <w:jc w:val="center"/>
                  </w:pPr>
                  <w:r>
                    <w:t xml:space="preserve">-1.866</w:t>
                  </w:r>
                </w:p>
              </w:tc>
              <w:tc>
                <w:tcPr/>
                <w:p>
                  <w:pPr>
                    <w:pStyle w:val="Compact"/>
                    <w:jc w:val="right"/>
                    <w:jc w:val="center"/>
                  </w:pPr>
                  <w:r>
                    <w:t xml:space="preserve">2.711</w:t>
                  </w:r>
                </w:p>
              </w:tc>
            </w:tr>
            <w:tr>
              <w:tc>
                <w:tcPr/>
                <w:p>
                  <w:pPr>
                    <w:pStyle w:val="Compact"/>
                    <w:jc w:val="left"/>
                    <w:jc w:val="center"/>
                  </w:pPr>
                  <m:oMath>
                    <m:sSub>
                      <m:e>
                        <m:r>
                          <m:t>β</m:t>
                        </m:r>
                      </m:e>
                      <m:sub>
                        <m:r>
                          <m:t>F</m:t>
                        </m:r>
                        <m:r>
                          <m:t>C</m:t>
                        </m:r>
                        <m:r>
                          <m:rPr>
                            <m:sty m:val="p"/>
                          </m:rPr>
                          <m:t>=</m:t>
                        </m:r>
                        <m:r>
                          <m:t>2</m:t>
                        </m:r>
                      </m:sub>
                    </m:sSub>
                  </m:oMath>
                </w:p>
              </w:tc>
              <w:tc>
                <w:tcPr/>
                <w:p>
                  <w:pPr>
                    <w:pStyle w:val="Compact"/>
                    <w:jc w:val="right"/>
                    <w:jc w:val="center"/>
                  </w:pPr>
                  <w:r>
                    <w:t xml:space="preserve">0.176</w:t>
                  </w:r>
                </w:p>
              </w:tc>
              <w:tc>
                <w:tcPr/>
                <w:p>
                  <w:pPr>
                    <w:pStyle w:val="Compact"/>
                    <w:jc w:val="right"/>
                    <w:jc w:val="center"/>
                  </w:pPr>
                  <w:r>
                    <w:t xml:space="preserve">1.164</w:t>
                  </w:r>
                </w:p>
              </w:tc>
              <w:tc>
                <w:tcPr/>
                <w:p>
                  <w:pPr>
                    <w:pStyle w:val="Compact"/>
                    <w:jc w:val="right"/>
                    <w:jc w:val="center"/>
                  </w:pPr>
                  <w:r>
                    <w:t xml:space="preserve">-2.219</w:t>
                  </w:r>
                </w:p>
              </w:tc>
              <w:tc>
                <w:tcPr/>
                <w:p>
                  <w:pPr>
                    <w:pStyle w:val="Compact"/>
                    <w:jc w:val="right"/>
                    <w:jc w:val="center"/>
                  </w:pPr>
                  <w:r>
                    <w:t xml:space="preserve">2.381</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-4.429</w:t>
                  </w:r>
                </w:p>
              </w:tc>
              <w:tc>
                <w:tcPr/>
                <w:p>
                  <w:pPr>
                    <w:pStyle w:val="Compact"/>
                    <w:jc w:val="right"/>
                    <w:jc w:val="center"/>
                  </w:pPr>
                  <w:r>
                    <w:t xml:space="preserve">0.932</w:t>
                  </w:r>
                </w:p>
              </w:tc>
              <w:tc>
                <w:tcPr/>
                <w:p>
                  <w:pPr>
                    <w:pStyle w:val="Compact"/>
                    <w:jc w:val="right"/>
                    <w:jc w:val="center"/>
                  </w:pPr>
                  <w:r>
                    <w:t xml:space="preserve">-6.266</w:t>
                  </w:r>
                </w:p>
              </w:tc>
              <w:tc>
                <w:tcPr/>
                <w:p>
                  <w:pPr>
                    <w:pStyle w:val="Compact"/>
                    <w:jc w:val="right"/>
                    <w:jc w:val="center"/>
                  </w:pPr>
                  <w:r>
                    <w:t xml:space="preserve">-2.666</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-0.442</w:t>
                  </w:r>
                </w:p>
              </w:tc>
              <w:tc>
                <w:tcPr/>
                <w:p>
                  <w:pPr>
                    <w:pStyle w:val="Compact"/>
                    <w:jc w:val="right"/>
                    <w:jc w:val="center"/>
                  </w:pPr>
                  <w:r>
                    <w:t xml:space="preserve">0.774</w:t>
                  </w:r>
                </w:p>
              </w:tc>
              <w:tc>
                <w:tcPr/>
                <w:p>
                  <w:pPr>
                    <w:pStyle w:val="Compact"/>
                    <w:jc w:val="right"/>
                    <w:jc w:val="center"/>
                  </w:pPr>
                  <w:r>
                    <w:t xml:space="preserve">-1.88</w:t>
                  </w:r>
                </w:p>
              </w:tc>
              <w:tc>
                <w:tcPr/>
                <w:p>
                  <w:pPr>
                    <w:pStyle w:val="Compact"/>
                    <w:jc w:val="right"/>
                    <w:jc w:val="center"/>
                  </w:pPr>
                  <w:r>
                    <w:t xml:space="preserve">1.137</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0.018</w:t>
                  </w:r>
                </w:p>
              </w:tc>
              <w:tc>
                <w:tcPr/>
                <w:p>
                  <w:pPr>
                    <w:pStyle w:val="Compact"/>
                    <w:jc w:val="right"/>
                    <w:jc w:val="center"/>
                  </w:pPr>
                  <w:r>
                    <w:t xml:space="preserve">0.732</w:t>
                  </w:r>
                </w:p>
              </w:tc>
              <w:tc>
                <w:tcPr/>
                <w:p>
                  <w:pPr>
                    <w:pStyle w:val="Compact"/>
                    <w:jc w:val="right"/>
                    <w:jc w:val="center"/>
                  </w:pPr>
                  <w:r>
                    <w:t xml:space="preserve">-1.397</w:t>
                  </w:r>
                </w:p>
              </w:tc>
              <w:tc>
                <w:tcPr/>
                <w:p>
                  <w:pPr>
                    <w:pStyle w:val="Compact"/>
                    <w:jc w:val="right"/>
                    <w:jc w:val="center"/>
                  </w:pPr>
                  <w:r>
                    <w:t xml:space="preserve">1.421</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0.237</w:t>
                  </w:r>
                </w:p>
              </w:tc>
              <w:tc>
                <w:tcPr/>
                <w:p>
                  <w:pPr>
                    <w:pStyle w:val="Compact"/>
                    <w:jc w:val="right"/>
                    <w:jc w:val="center"/>
                  </w:pPr>
                  <w:r>
                    <w:t xml:space="preserve">0.733</w:t>
                  </w:r>
                </w:p>
              </w:tc>
              <w:tc>
                <w:tcPr/>
                <w:p>
                  <w:pPr>
                    <w:pStyle w:val="Compact"/>
                    <w:jc w:val="right"/>
                    <w:jc w:val="center"/>
                  </w:pPr>
                  <w:r>
                    <w:t xml:space="preserve">-1.069</w:t>
                  </w:r>
                </w:p>
              </w:tc>
              <w:tc>
                <w:tcPr/>
                <w:p>
                  <w:pPr>
                    <w:pStyle w:val="Compact"/>
                    <w:jc w:val="right"/>
                    <w:jc w:val="center"/>
                  </w:pPr>
                  <w:r>
                    <w:t xml:space="preserve">1.747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0.337</w:t>
                  </w:r>
                </w:p>
              </w:tc>
              <w:tc>
                <w:tcPr/>
                <w:p>
                  <w:pPr>
                    <w:pStyle w:val="Compact"/>
                    <w:jc w:val="right"/>
                    <w:jc w:val="center"/>
                  </w:pPr>
                  <w:r>
                    <w:t xml:space="preserve">0.74</w:t>
                  </w:r>
                </w:p>
              </w:tc>
              <w:tc>
                <w:tcPr/>
                <w:p>
                  <w:pPr>
                    <w:pStyle w:val="Compact"/>
                    <w:jc w:val="right"/>
                    <w:jc w:val="center"/>
                  </w:pPr>
                  <w:r>
                    <w:t xml:space="preserve">-0.991</w:t>
                  </w:r>
                </w:p>
              </w:tc>
              <w:tc>
                <w:tcPr/>
                <w:p>
                  <w:pPr>
                    <w:pStyle w:val="Compact"/>
                    <w:jc w:val="right"/>
                    <w:jc w:val="center"/>
                  </w:pPr>
                  <w:r>
                    <w:t xml:space="preserve">1.856</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0.829</w:t>
                  </w:r>
                </w:p>
              </w:tc>
              <w:tc>
                <w:tcPr/>
                <w:p>
                  <w:pPr>
                    <w:pStyle w:val="Compact"/>
                    <w:jc w:val="right"/>
                    <w:jc w:val="center"/>
                  </w:pPr>
                  <w:r>
                    <w:t xml:space="preserve">0.753</w:t>
                  </w:r>
                </w:p>
              </w:tc>
              <w:tc>
                <w:tcPr/>
                <w:p>
                  <w:pPr>
                    <w:pStyle w:val="Compact"/>
                    <w:jc w:val="right"/>
                    <w:jc w:val="center"/>
                  </w:pPr>
                  <w:r>
                    <w:t xml:space="preserve">-0.569</w:t>
                  </w:r>
                </w:p>
              </w:tc>
              <w:tc>
                <w:tcPr/>
                <w:p>
                  <w:pPr>
                    <w:pStyle w:val="Compact"/>
                    <w:jc w:val="right"/>
                    <w:jc w:val="center"/>
                  </w:pPr>
                  <w:r>
                    <w:t xml:space="preserve">2.323</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4.248</w:t>
                  </w:r>
                </w:p>
              </w:tc>
              <w:tc>
                <w:tcPr/>
                <w:p>
                  <w:pPr>
                    <w:pStyle w:val="Compact"/>
                    <w:jc w:val="right"/>
                    <w:jc w:val="center"/>
                  </w:pPr>
                  <w:r>
                    <w:t xml:space="preserve">0.962</w:t>
                  </w:r>
                </w:p>
              </w:tc>
              <w:tc>
                <w:tcPr/>
                <w:p>
                  <w:pPr>
                    <w:pStyle w:val="Compact"/>
                    <w:jc w:val="right"/>
                    <w:jc w:val="center"/>
                  </w:pPr>
                  <w:r>
                    <w:t xml:space="preserve">2.465</w:t>
                  </w:r>
                </w:p>
              </w:tc>
              <w:tc>
                <w:tcPr/>
                <w:p>
                  <w:pPr>
                    <w:pStyle w:val="Compact"/>
                    <w:jc w:val="right"/>
                    <w:jc w:val="center"/>
                  </w:pPr>
                  <w:r>
                    <w:t xml:space="preserve">6.186</w:t>
                  </w:r>
                </w:p>
              </w:tc>
            </w:tr>
            <w:tr>
              <w:tc>
                <w:tcPr/>
                <w:p>
                  <w:pPr>
                    <w:pStyle w:val="Compact"/>
                    <w:jc w:val="left"/>
                    <w:jc w:val="center"/>
                  </w:pPr>
                  <m:oMath>
                    <m:sSub>
                      <m:e>
                        <m:r>
                          <m:t>β</m:t>
                        </m:r>
                      </m:e>
                      <m:sub>
                        <m:r>
                          <m:t>m</m:t>
                        </m:r>
                        <m:r>
                          <m:t>o</m:t>
                        </m:r>
                        <m:r>
                          <m:t>d</m:t>
                        </m:r>
                        <m:r>
                          <m:t>u</m:t>
                        </m:r>
                        <m:r>
                          <m:t>l</m:t>
                        </m:r>
                        <m:r>
                          <m:t>a</m:t>
                        </m:r>
                        <m:r>
                          <m:t>t</m:t>
                        </m:r>
                        <m:r>
                          <m:t>i</m:t>
                        </m:r>
                        <m:r>
                          <m:t>o</m:t>
                        </m:r>
                        <m:r>
                          <m:t>n</m:t>
                        </m:r>
                      </m:sub>
                    </m:sSub>
                  </m:oMath>
                </w:p>
              </w:tc>
              <w:tc>
                <w:tcPr/>
                <w:p>
                  <w:pPr>
                    <w:pStyle w:val="Compact"/>
                    <w:jc w:val="right"/>
                    <w:jc w:val="center"/>
                  </w:pPr>
                  <w:r>
                    <w:t xml:space="preserve">1.264</w:t>
                  </w:r>
                </w:p>
              </w:tc>
              <w:tc>
                <w:tcPr/>
                <w:p>
                  <w:pPr>
                    <w:pStyle w:val="Compact"/>
                    <w:jc w:val="right"/>
                    <w:jc w:val="center"/>
                  </w:pPr>
                  <w:r>
                    <w:t xml:space="preserve">0.513</w:t>
                  </w:r>
                </w:p>
              </w:tc>
              <w:tc>
                <w:tcPr/>
                <w:p>
                  <w:pPr>
                    <w:pStyle w:val="Compact"/>
                    <w:jc w:val="right"/>
                    <w:jc w:val="center"/>
                  </w:pPr>
                  <w:r>
                    <w:t xml:space="preserve">0.308</w:t>
                  </w:r>
                </w:p>
              </w:tc>
              <w:tc>
                <w:tcPr/>
                <w:p>
                  <w:pPr>
                    <w:pStyle w:val="Compact"/>
                    <w:jc w:val="right"/>
                    <w:jc w:val="center"/>
                  </w:pPr>
                  <w:r>
                    <w:t xml:space="preserve">2.294</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599765"/>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5997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(No_CC) model where current cost factor was omitted from preferences, (No_FC)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25.3217</w:t>
                  </w:r>
                </w:p>
              </w:tc>
              <w:tc>
                <w:tcPr/>
                <w:p>
                  <w:pPr>
                    <w:pStyle w:val="Compact"/>
                    <w:jc w:val="right"/>
                    <w:jc w:val="center"/>
                  </w:pPr>
                  <w:r>
                    <w:t xml:space="preserve">48.5354</w:t>
                  </w:r>
                </w:p>
              </w:tc>
              <w:tc>
                <w:tcPr/>
                <w:p>
                  <w:pPr>
                    <w:pStyle w:val="Compact"/>
                    <w:jc w:val="right"/>
                    <w:jc w:val="center"/>
                  </w:pPr>
                  <w:r>
                    <w:t xml:space="preserve">7.61146</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with</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0162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01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2026-09-25T09:32:14Z</dcterms:created>
  <dcterms:modified xsi:type="dcterms:W3CDTF">2026-09-25T09:32:14Z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2026-09-25</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