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112.png" ContentType="image/png"/>
  <Override PartName="/word/media/rId126.png" ContentType="image/png"/>
  <Override PartName="/word/media/rId120.png" ContentType="image/png"/>
  <Override PartName="/word/media/rId133.png" ContentType="image/png"/>
  <Override PartName="/word/media/rId10.png" ContentType="image/png"/>
  <Override PartName="/word/media/rId14.png" ContentType="image/png"/>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2026-09-18</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9"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bookmarkEnd w:id="9"/>
    <w:bookmarkStart w:id="33" w:name="results"/>
    <w:p>
      <w:pPr>
        <w:pStyle w:val="Heading2"/>
      </w:pPr>
      <w:r>
        <w:t xml:space="preserve">2 Results</w:t>
      </w:r>
    </w:p>
    <w:p>
      <w:pPr>
        <w:pStyle w:val="FirstParagraph"/>
      </w:pPr>
      <w:r>
        <w:t xml:space="preserve">We tested our hypothesis on a dataset where participants performed a complex sequential decision making task (</w:t>
      </w:r>
      <w:r>
        <w:t xml:space="preserve">Ott et al. (2022b)</w:t>
      </w:r>
      <w:r>
        <w:t xml:space="preserve">, see</w:t>
      </w:r>
      <w:r>
        <w:t xml:space="preserve"> </w:t>
      </w:r>
      <w:hyperlink w:anchor="sec-data-desgin">
        <w:r>
          <w:rPr>
            <w:rStyle w:val="Hyperlink"/>
          </w:rPr>
          <w:t xml:space="preserve">Section 4.1</w:t>
        </w:r>
      </w:hyperlink>
      <w:r>
        <w:t xml:space="preserve"> </w:t>
      </w:r>
      <w:r>
        <w:t xml:space="preserve">for the full description of the design). In each trial, participants had to decide whether to accept or reject an offer varying between 1 and 4 points, where accepting an offer incurred and energy cost between 1 and 2 points, and rejecting an offer incurred a gain of one energy point. Energy cost associated with accepting an offer changed every 4 trials (referred to as trials segment) and participants were informed of the current and future trials segment. This task is highly structure, as each trial consists of a combination of 4 factors (offer, energy, current and future costs), all of which have to be taken into account to maximize return, making this dataset ideal to test our prediction that participants combine forward-planning with preferences reflecting the structure of the task.</w:t>
      </w:r>
    </w:p>
    <w:p>
      <w:pPr>
        <w:pStyle w:val="BodyText"/>
      </w:pPr>
      <w:r>
        <w:t xml:space="preserve">Performance indicates that participants were able to perform the task well. Participants provided responses with an average reaction time (RT)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332.43</w:t>
      </w:r>
      <w:r>
        <w:t xml:space="preserve"> </w:t>
      </w:r>
      <m:oMath>
        <m:r>
          <m:rPr>
            <m:sty m:val="p"/>
          </m:rPr>
          <m:t>±</m:t>
        </m:r>
      </m:oMath>
      <w:r>
        <w:t xml:space="preserve"> </w:t>
      </w:r>
      <w:r>
        <w:t xml:space="preserve">6.64 points throughout the experiment.</w:t>
      </w:r>
    </w:p>
    <w:bookmarkStart w:id="22" w:name="choice-behavior"/>
    <w:p>
      <w:pPr>
        <w:pStyle w:val="Heading3"/>
      </w:pPr>
      <w:r>
        <w:t xml:space="preserve">2.1 Choice behavior</w:t>
      </w:r>
    </w:p>
    <w:p>
      <w:pPr>
        <w:pStyle w:val="FirstParagraph"/>
      </w:pPr>
      <w:r>
        <w:t xml:space="preserve">To test whether and how participants choice behavior deviates from optimal planning, we compared four Bayesian hierarchical logistic regression models of participants accept/reject choices (see</w:t>
      </w:r>
      <w:r>
        <w:t xml:space="preserve"> </w:t>
      </w:r>
      <w:hyperlink w:anchor="sec-choice-behavior-modeling-method">
        <w:r>
          <w:rPr>
            <w:rStyle w:val="Hyperlink"/>
          </w:rPr>
          <w:t xml:space="preserve">Section 4.3</w:t>
        </w:r>
      </w:hyperlink>
      <w:r>
        <w:t xml:space="preserve"> </w:t>
      </w:r>
      <w:r>
        <w:t xml:space="preserve">for detailed explanation). All models shared the same planning component: decision values (DV) obtained by backward induction on the task Markov Decision Process (MDP), reflecting the difference in long term value between accepting and rejecting an offer in each state under the optimal policy. The Planning model contained only DV as a regressor assumed deviations were unsystematic noise, serving as a benchmark. The three other models differed in how they accounted for deviations from this benchmark. The Frequency-prior model assumed deviations reflect a recency bias towards recently chosen actions. The Offer-context model, the best fitting model from</w:t>
      </w:r>
      <w:r>
        <w:t xml:space="preserve"> </w:t>
      </w:r>
      <w:r>
        <w:t xml:space="preserve">Ott et al. (2022a)</w:t>
      </w:r>
      <w:r>
        <w:t xml:space="preserve">, assumed that participants plan to different extents in extreme versus intermediate offers. Finally, the Preference model, impelementing our main hypothesis, combined the planning component with a state-dependent preference score, contructed by assigning weights to the levels of each task factor (offer, energy, current and future costs) and summing them, as well as a modulation term testing whether the influence of planning depends on the entropy of the preference score.</w:t>
      </w:r>
    </w:p>
    <w:p>
      <w:pPr>
        <w:pStyle w:val="BodyText"/>
      </w:pPr>
      <w:r>
        <w:t xml:space="preserve">Model comparison revealed that participants’ deviations from optimal forward planning were indeed systematic. Replicating</w:t>
      </w:r>
      <w:r>
        <w:t xml:space="preserve"> </w:t>
      </w:r>
      <w:r>
        <w:t xml:space="preserve">Ott et al. (2022a)</w:t>
      </w:r>
      <w:r>
        <w:t xml:space="preserve">, the Planning model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1</w:t>
        </w:r>
      </w:hyperlink>
      <w:r>
        <w:t xml:space="preserve"> </w:t>
      </w:r>
      <w:r>
        <w:t xml:space="preserve">A), indicating that deviations from optimal behavior are not purely stochastic.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1</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1</w:t>
        </w:r>
      </w:hyperlink>
      <w:r>
        <w:t xml:space="preserve"> </w:t>
      </w:r>
      <w:r>
        <w:t xml:space="preserve">B). The improved fit of the preference model is reflected in</w:t>
      </w:r>
      <w:r>
        <w:t xml:space="preserve"> </w:t>
      </w:r>
      <w:hyperlink w:anchor="fig-choicemdl">
        <w:r>
          <w:rPr>
            <w:rStyle w:val="Hyperlink"/>
          </w:rPr>
          <w:t xml:space="preserve">Figure 1</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1</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tbl>
      <w:tblPr>
        <w:tblStyle w:val="Table"/>
        <w:tblW w:type="pct" w:w="5000"/>
        <w:tblLayout w:type="fixed"/>
        <w:tblLook w:firstRow="0" w:lastRow="0" w:firstColumn="0" w:lastColumn="0" w:noHBand="0" w:noVBand="0" w:val="0000"/>
      </w:tblPr>
      <w:tblGrid>
        <w:gridCol w:w="7920"/>
      </w:tblGrid>
      <w:tr>
        <w:tc>
          <w:tcPr/>
          <w:bookmarkStart w:id="13" w:name="fig-choicemdl"/>
          <w:p>
            <w:pPr>
              <w:pStyle w:val="Compact"/>
              <w:jc w:val="center"/>
            </w:pPr>
            <w:r>
              <w:drawing>
                <wp:inline>
                  <wp:extent cx="5334000" cy="6927319"/>
                  <wp:effectExtent b="0" l="0" r="0" t="0"/>
                  <wp:docPr descr="" title="" id="11" name="Picture"/>
                  <a:graphic>
                    <a:graphicData uri="http://schemas.openxmlformats.org/drawingml/2006/picture">
                      <pic:pic>
                        <pic:nvPicPr>
                          <pic:cNvPr descr="index_files/figure-docx/fig-choicemdl-output-1.png" id="12" name="Picture"/>
                          <pic:cNvPicPr>
                            <a:picLocks noChangeArrowheads="1" noChangeAspect="1"/>
                          </pic:cNvPicPr>
                        </pic:nvPicPr>
                        <pic:blipFill>
                          <a:blip r:embed="rId10"/>
                          <a:stretch>
                            <a:fillRect/>
                          </a:stretch>
                        </pic:blipFill>
                        <pic:spPr bwMode="auto">
                          <a:xfrm>
                            <a:off x="0" y="0"/>
                            <a:ext cx="5334000" cy="6927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Observed and model-predicted probability of accepting, shown separately for each offer level and model. Points indicate participants’ observed acceptance probabilities.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13"/>
        </w:tc>
      </w:tr>
    </w:tbl>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=[0.35, 2.25]),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2</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2</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2</w:t>
        </w:r>
      </w:hyperlink>
      <w:r>
        <w:t xml:space="preserve"> </w:t>
      </w:r>
      <w:r>
        <w:t xml:space="preserve">B) and negative (</w:t>
      </w:r>
      <w:hyperlink w:anchor="fig-pref-planning-interaction">
        <w:r>
          <w:rPr>
            <w:rStyle w:val="Hyperlink"/>
          </w:rPr>
          <w:t xml:space="preserve">Figure 2</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tbl>
      <w:tblPr>
        <w:tblStyle w:val="Table"/>
        <w:tblW w:type="pct" w:w="5000"/>
        <w:tblLayout w:type="fixed"/>
        <w:tblLook w:firstRow="0" w:lastRow="0" w:firstColumn="0" w:lastColumn="0" w:noHBand="0" w:noVBand="0" w:val="0000"/>
      </w:tblPr>
      <w:tblGrid>
        <w:gridCol w:w="7920"/>
      </w:tblGrid>
      <w:tr>
        <w:tc>
          <w:tcPr/>
          <w:bookmarkStart w:id="17" w:name="fig-pref-planning-interaction"/>
          <w:p>
            <w:pPr>
              <w:pStyle w:val="Compact"/>
              <w:jc w:val="center"/>
            </w:pPr>
            <w:r>
              <w:drawing>
                <wp:inline>
                  <wp:extent cx="5334000" cy="7013088"/>
                  <wp:effectExtent b="0" l="0" r="0" t="0"/>
                  <wp:docPr descr="" title="" id="15" name="Picture"/>
                  <a:graphic>
                    <a:graphicData uri="http://schemas.openxmlformats.org/drawingml/2006/picture">
                      <pic:pic>
                        <pic:nvPicPr>
                          <pic:cNvPr descr="index_files/figure-docx/fig-pref-planning-interaction-output-1.png" id="16" name="Picture"/>
                          <pic:cNvPicPr>
                            <a:picLocks noChangeArrowheads="1" noChangeAspect="1"/>
                          </pic:cNvPicPr>
                        </pic:nvPicPr>
                        <pic:blipFill>
                          <a:blip r:embed="rId14"/>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17"/>
        </w:tc>
      </w:tr>
    </w:tbl>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3</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3</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3</w:t>
        </w:r>
      </w:hyperlink>
      <w:r>
        <w:t xml:space="preserve"> </w:t>
      </w:r>
      <w:r>
        <w:t xml:space="preserve">B). Visual inspection of</w:t>
      </w:r>
      <w:r>
        <w:t xml:space="preserve"> </w:t>
      </w:r>
      <w:hyperlink w:anchor="fig-returns">
        <w:r>
          <w:rPr>
            <w:rStyle w:val="Hyperlink"/>
          </w:rPr>
          <w:t xml:space="preserve">Figure 3</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tbl>
      <w:tblPr>
        <w:tblStyle w:val="Table"/>
        <w:tblW w:type="pct" w:w="5000"/>
        <w:tblLayout w:type="fixed"/>
        <w:tblLook w:firstRow="0" w:lastRow="0" w:firstColumn="0" w:lastColumn="0" w:noHBand="0" w:noVBand="0" w:val="0000"/>
      </w:tblPr>
      <w:tblGrid>
        <w:gridCol w:w="7920"/>
      </w:tblGrid>
      <w:tr>
        <w:tc>
          <w:tcPr/>
          <w:bookmarkStart w:id="21" w:name="fig-returns"/>
          <w:p>
            <w:pPr>
              <w:pStyle w:val="Compact"/>
              <w:jc w:val="center"/>
            </w:pPr>
            <w:r>
              <w:drawing>
                <wp:inline>
                  <wp:extent cx="5334000" cy="2227026"/>
                  <wp:effectExtent b="0" l="0" r="0" t="0"/>
                  <wp:docPr descr="" title="" id="19" name="Picture"/>
                  <a:graphic>
                    <a:graphicData uri="http://schemas.openxmlformats.org/drawingml/2006/picture">
                      <pic:pic>
                        <pic:nvPicPr>
                          <pic:cNvPr descr="index_files/figure-docx/fig-returns-output-1.png" id="20" name="Picture"/>
                          <pic:cNvPicPr>
                            <a:picLocks noChangeArrowheads="1" noChangeAspect="1"/>
                          </pic:cNvPicPr>
                        </pic:nvPicPr>
                        <pic:blipFill>
                          <a:blip r:embed="rId18"/>
                          <a:stretch>
                            <a:fillRect/>
                          </a:stretch>
                        </pic:blipFill>
                        <pic:spPr bwMode="auto">
                          <a:xfrm>
                            <a:off x="0" y="0"/>
                            <a:ext cx="5334000" cy="222702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21"/>
        </w:tc>
      </w:tr>
    </w:tbl>
    <w:bookmarkEnd w:id="22"/>
    <w:bookmarkStart w:id="27" w:name="experimental-factors-relevance"/>
    <w:p>
      <w:pPr>
        <w:pStyle w:val="Heading3"/>
      </w:pPr>
      <w:r>
        <w:t xml:space="preserve">2.2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1</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(see</w:t>
      </w:r>
      <w:r>
        <w:t xml:space="preserve"> </w:t>
      </w:r>
      <w:hyperlink w:anchor="sec-factor-relevance-analysis">
        <w:r>
          <w:rPr>
            <w:rStyle w:val="Hyperlink"/>
          </w:rPr>
          <w:t xml:space="preserve">Section 4.5</w:t>
        </w:r>
      </w:hyperlink>
      <w:r>
        <w:t xml:space="preserve"> </w:t>
      </w:r>
      <w:r>
        <w:t xml:space="preserve">for a description). This effectively tests how decision-making changes when participants are assumed to ignore one specific source of task information, such as offer value, action costs, or future transitions.</w:t>
      </w:r>
    </w:p>
    <w:p>
      <w:pPr>
        <w:pStyle w:val="BodyText"/>
      </w:pPr>
      <w:hyperlink w:anchor="fig-task-features">
        <w:r>
          <w:rPr>
            <w:rStyle w:val="Hyperlink"/>
          </w:rPr>
          <w:t xml:space="preserve">Figure 4</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tbl>
      <w:tblPr>
        <w:tblStyle w:val="Table"/>
        <w:tblW w:type="pct" w:w="5000"/>
        <w:tblLayout w:type="fixed"/>
        <w:tblLook w:firstRow="0" w:lastRow="0" w:firstColumn="0" w:lastColumn="0" w:noHBand="0" w:noVBand="0" w:val="0000"/>
      </w:tblPr>
      <w:tblGrid>
        <w:gridCol w:w="7920"/>
      </w:tblGrid>
      <w:tr>
        <w:tc>
          <w:tcPr/>
          <w:bookmarkStart w:id="26" w:name="fig-task-features"/>
          <w:p>
            <w:pPr>
              <w:pStyle w:val="Compact"/>
              <w:jc w:val="center"/>
            </w:pPr>
            <w:r>
              <w:drawing>
                <wp:inline>
                  <wp:extent cx="5334000" cy="4442669"/>
                  <wp:effectExtent b="0" l="0" r="0" t="0"/>
                  <wp:docPr descr="" title="" id="24" name="Picture"/>
                  <a:graphic>
                    <a:graphicData uri="http://schemas.openxmlformats.org/drawingml/2006/picture">
                      <pic:pic>
                        <pic:nvPicPr>
                          <pic:cNvPr descr="index_files/figure-docx/fig-task-features-output-1.png" id="25" name="Picture"/>
                          <pic:cNvPicPr>
                            <a:picLocks noChangeArrowheads="1" noChangeAspect="1"/>
                          </pic:cNvPicPr>
                        </pic:nvPicPr>
                        <pic:blipFill>
                          <a:blip r:embed="rId23"/>
                          <a:stretch>
                            <a:fillRect/>
                          </a:stretch>
                        </pic:blipFill>
                        <pic:spPr bwMode="auto">
                          <a:xfrm>
                            <a:off x="0" y="0"/>
                            <a:ext cx="5334000" cy="444266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26"/>
        </w:tc>
      </w:tr>
    </w:tbl>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4</w:t>
        </w:r>
      </w:hyperlink>
      <w:r>
        <w:t xml:space="preserve"> </w:t>
      </w:r>
      <w:r>
        <w:t xml:space="preserve">B, see</w:t>
      </w:r>
      <w:r>
        <w:t xml:space="preserve"> </w:t>
      </w:r>
      <w:hyperlink w:anchor="sec-factor-relevance-analysis">
        <w:r>
          <w:rPr>
            <w:rStyle w:val="Hyperlink"/>
          </w:rPr>
          <w:t xml:space="preserve">Section 4.5</w:t>
        </w:r>
      </w:hyperlink>
      <w:r>
        <w:t xml:space="preserve">).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4</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(see</w:t>
      </w:r>
      <w:r>
        <w:t xml:space="preserve"> </w:t>
      </w:r>
      <w:hyperlink w:anchor="sec-factor-relevance-analysis">
        <w:r>
          <w:rPr>
            <w:rStyle w:val="Hyperlink"/>
          </w:rPr>
          <w:t xml:space="preserve">Section 4.5</w:t>
        </w:r>
      </w:hyperlink>
      <w:r>
        <w:t xml:space="preserve">). The full preference policy produced a return loss of 28.34%, indicating that preferences did not fully replace forward planning, see</w:t>
      </w:r>
      <w:r>
        <w:t xml:space="preserve"> </w:t>
      </w:r>
      <w:hyperlink w:anchor="fig-task-features">
        <w:r>
          <w:rPr>
            <w:rStyle w:val="Hyperlink"/>
          </w:rPr>
          <w:t xml:space="preserve">Figure 4</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4</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4</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bookmarkEnd w:id="27"/>
    <w:bookmarkStart w:id="32" w:name="reaction-times"/>
    <w:p>
      <w:pPr>
        <w:pStyle w:val="Heading3"/>
      </w:pPr>
      <w:r>
        <w:t xml:space="preserve">2.3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 To test this prediction, we modelled participants RT using the absolute decision value (referred to as decision conflict), as well as the preference score estimated from the choice behavior model, and the interaction between the two (see</w:t>
      </w:r>
      <w:r>
        <w:t xml:space="preserve"> </w:t>
      </w:r>
      <w:hyperlink w:anchor="sec-RT-model-method">
        <w:r>
          <w:rPr>
            <w:rStyle w:val="Hyperlink"/>
          </w:rPr>
          <w:t xml:space="preserve">Section 4.6</w:t>
        </w:r>
      </w:hyperlink>
      <w:r>
        <w:t xml:space="preserve"> </w:t>
      </w:r>
      <w:r>
        <w:t xml:space="preserve">for a description of the model).</w:t>
      </w:r>
    </w:p>
    <w:p>
      <w:pPr>
        <w:pStyle w:val="BodyText"/>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5</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5</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5</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5</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5</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tbl>
      <w:tblPr>
        <w:tblStyle w:val="Table"/>
        <w:tblW w:type="pct" w:w="5000"/>
        <w:tblLayout w:type="fixed"/>
        <w:tblLook w:firstRow="0" w:lastRow="0" w:firstColumn="0" w:lastColumn="0" w:noHBand="0" w:noVBand="0" w:val="0000"/>
      </w:tblPr>
      <w:tblGrid>
        <w:gridCol w:w="7920"/>
      </w:tblGrid>
      <w:tr>
        <w:tc>
          <w:tcPr/>
          <w:bookmarkStart w:id="31" w:name="fig-rt"/>
          <w:p>
            <w:pPr>
              <w:pStyle w:val="Compact"/>
              <w:jc w:val="center"/>
            </w:pPr>
            <w:r>
              <w:drawing>
                <wp:inline>
                  <wp:extent cx="5334000" cy="3065059"/>
                  <wp:effectExtent b="0" l="0" r="0" t="0"/>
                  <wp:docPr descr="" title="" id="29" name="Picture"/>
                  <a:graphic>
                    <a:graphicData uri="http://schemas.openxmlformats.org/drawingml/2006/picture">
                      <pic:pic>
                        <pic:nvPicPr>
                          <pic:cNvPr descr="index_files/figure-docx/fig-rt-output-2.png" id="30" name="Picture"/>
                          <pic:cNvPicPr>
                            <a:picLocks noChangeArrowheads="1" noChangeAspect="1"/>
                          </pic:cNvPicPr>
                        </pic:nvPicPr>
                        <pic:blipFill>
                          <a:blip r:embed="rId28"/>
                          <a:stretch>
                            <a:fillRect/>
                          </a:stretch>
                        </pic:blipFill>
                        <pic:spPr bwMode="auto">
                          <a:xfrm>
                            <a:off x="0" y="0"/>
                            <a:ext cx="5334000" cy="306505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31"/>
        </w:tc>
      </w:tr>
    </w:tbl>
    <w:bookmarkEnd w:id="32"/>
    <w:bookmarkEnd w:id="33"/>
    <w:bookmarkStart w:id="34" w:name="discussion"/>
    <w:p>
      <w:pPr>
        <w:pStyle w:val="Heading2"/>
      </w:pPr>
      <w:r>
        <w:t xml:space="preserve">3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4</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bookmarkEnd w:id="34"/>
    <w:bookmarkStart w:id="58" w:name="methods"/>
    <w:p>
      <w:pPr>
        <w:pStyle w:val="Heading2"/>
      </w:pPr>
      <w:r>
        <w:t xml:space="preserve">4 Methods</w:t>
      </w:r>
    </w:p>
    <w:bookmarkStart w:id="39" w:name="sec-data-desgin"/>
    <w:p>
      <w:pPr>
        <w:pStyle w:val="Heading3"/>
      </w:pPr>
      <w:r>
        <w:t xml:space="preserve">4.1 Data</w:t>
      </w:r>
    </w:p>
    <w:p>
      <w:pPr>
        <w:pStyle w:val="FirstParagraph"/>
      </w:pPr>
      <w:r>
        <w:t xml:space="preserve">The data used in this study were published by Ott and colleagues (2022a). In this study,</w:t>
      </w:r>
      <w:r>
        <w:t xml:space="preserve"> </w:t>
      </w:r>
      <w:r>
        <w:rPr>
          <w:rStyle w:val="VerbatimChar"/>
        </w:rPr>
        <w:t xml:space="preserve">{python} f"{n_participants:.0f}"</w:t>
      </w:r>
      <w:r>
        <w:t xml:space="preserve"> </w:t>
      </w:r>
      <w:r>
        <w:t xml:space="preserve">participants (</w:t>
      </w:r>
      <w:r>
        <w:rPr>
          <w:rStyle w:val="VerbatimChar"/>
        </w:rPr>
        <w:t xml:space="preserve">{python} f"{n_female:.0f}, mean age={mean_age:.1f}, SD={std_age:.1f}"</w:t>
      </w:r>
      <w:r>
        <w:t xml:space="preserve">)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6</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6</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6</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tbl>
      <w:tblPr>
        <w:tblStyle w:val="Table"/>
        <w:tblW w:type="pct" w:w="5000"/>
        <w:tblLayout w:type="fixed"/>
        <w:tblLook w:firstRow="0" w:lastRow="0" w:firstColumn="0" w:lastColumn="0" w:noHBand="0" w:noVBand="0" w:val="0000"/>
      </w:tblPr>
      <w:tblGrid>
        <w:gridCol w:w="7920"/>
      </w:tblGrid>
      <w:tr>
        <w:tc>
          <w:tcPr/>
          <w:bookmarkStart w:id="38" w:name="fig-design"/>
          <w:p>
            <w:pPr>
              <w:pStyle w:val="Compact"/>
              <w:jc w:val="center"/>
            </w:pPr>
            <w:r>
              <w:drawing>
                <wp:inline>
                  <wp:extent cx="5025153" cy="3342010"/>
                  <wp:effectExtent b="0" l="0" r="0" t="0"/>
                  <wp:docPr descr="" title="" id="36" name="Picture"/>
                  <a:graphic>
                    <a:graphicData uri="http://schemas.openxmlformats.org/drawingml/2006/picture">
                      <pic:pic>
                        <pic:nvPicPr>
                          <pic:cNvPr descr="images/experimental_design.jpg" id="37" name="Picture"/>
                          <pic:cNvPicPr>
                            <a:picLocks noChangeArrowheads="1" noChangeAspect="1"/>
                          </pic:cNvPicPr>
                        </pic:nvPicPr>
                        <pic:blipFill>
                          <a:blip r:embed="rId35"/>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38"/>
        </w:tc>
      </w:tr>
    </w:tbl>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bookmarkEnd w:id="39"/>
    <w:bookmarkStart w:id="40" w:name="sec-forward_planning_component"/>
    <w:p>
      <w:pPr>
        <w:pStyle w:val="Heading3"/>
      </w:pPr>
      <w:r>
        <w:t xml:space="preserve">4.2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bookmarkEnd w:id="40"/>
    <w:bookmarkStart w:id="53" w:name="sec-choice-behavior-modeling-method"/>
    <w:p>
      <w:pPr>
        <w:pStyle w:val="Heading3"/>
      </w:pPr>
      <w:r>
        <w:t xml:space="preserve">4.3 Modelling of participants responses</w:t>
      </w:r>
    </w:p>
    <w:p>
      <w:pPr>
        <w:pStyle w:val="FirstParagraph"/>
      </w:pPr>
      <w:r>
        <w:t xml:space="preserve">Participants responses were modelled using a logistic regression:</w:t>
      </w:r>
    </w:p>
    <w:p>
      <w:pPr>
        <w:pStyle w:val="BodyText"/>
      </w:pPr>
      <w:bookmarkStart w:id="41"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41"/>
    </w:p>
    <w:p>
      <w:pPr>
        <w:pStyle w:val="FirstParagraph"/>
      </w:pPr>
      <w:r>
        <w:t xml:space="preserve">where</w:t>
      </w:r>
      <w:r>
        <w:t xml:space="preserve"> </w:t>
      </w: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oMath>
      <w:r>
        <w:t xml:space="preserve"> </w:t>
      </w: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bookmarkStart w:id="43" w:name="planning-model"/>
    <w:p>
      <w:pPr>
        <w:pStyle w:val="Heading4"/>
      </w:pPr>
      <w:r>
        <w:t xml:space="preserve">4.3.1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42"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42"/>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bookmarkEnd w:id="43"/>
    <w:bookmarkStart w:id="46" w:name="frequency-prior-model"/>
    <w:p>
      <w:pPr>
        <w:pStyle w:val="Heading4"/>
      </w:pPr>
      <w:r>
        <w:t xml:space="preserve">4.3.2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44"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3</m:t>
          </m:r>
          <m:r>
            <m:rPr>
              <m:sty m:val="p"/>
            </m:rPr>
            <m:t>)</m:t>
          </m:r>
        </m:oMath>
      </m:oMathPara>
      <w:bookmarkEnd w:id="44"/>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45"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45"/>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bookmarkEnd w:id="46"/>
    <w:bookmarkStart w:id="48" w:name="offer-context-model"/>
    <w:p>
      <w:pPr>
        <w:pStyle w:val="Heading4"/>
      </w:pPr>
      <w:r>
        <w:t xml:space="preserve">4.3.3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47"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47"/>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bookmarkEnd w:id="48"/>
    <w:bookmarkStart w:id="52" w:name="preferences-model"/>
    <w:p>
      <w:pPr>
        <w:pStyle w:val="Heading4"/>
      </w:pPr>
      <w:r>
        <w:t xml:space="preserve">4.3.4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49"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6</m:t>
          </m:r>
          <m:r>
            <m:rPr>
              <m:sty m:val="p"/>
            </m:rPr>
            <m:t>)</m:t>
          </m:r>
        </m:oMath>
      </m:oMathPara>
      <w:bookmarkEnd w:id="49"/>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50"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7</m:t>
          </m:r>
          <m:r>
            <m:rPr>
              <m:sty m:val="p"/>
            </m:rPr>
            <m:t>)</m:t>
          </m:r>
        </m:oMath>
      </m:oMathPara>
      <w:bookmarkEnd w:id="50"/>
    </w:p>
    <w:p>
      <w:pPr>
        <w:pStyle w:val="FirstParagraph"/>
      </w:pPr>
      <w:r>
        <w:t xml:space="preserve">With:</w:t>
      </w:r>
    </w:p>
    <w:p>
      <w:pPr>
        <w:pStyle w:val="BodyText"/>
      </w:pPr>
      <w:bookmarkStart w:id="51" w:name="eq-entropy"/>
      <m:oMathPara>
        <m:oMathParaPr>
          <m:jc m:val="center"/>
        </m:oMathParaPr>
        <m:oMath>
          <m:m>
            <m:mPr>
              <m:baseJc m:val="center"/>
              <m:plcHide m:val="on"/>
              <m:mcs>
                <m:mc>
                  <m:mcPr>
                    <m:mcJc m:val="right"/>
                    <m:count m:val="1"/>
                  </m:mcPr>
                </m:mc>
              </m:mcs>
            </m:mPr>
            <m:mr>
              <m:e>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r>
                          <m:t>x</m:t>
                        </m:r>
                      </m:sup>
                    </m:sSup>
                  </m:den>
                </m:f>
              </m:e>
            </m:mr>
          </m:m>
          <m:r>
            <m:t>  </m:t>
          </m:r>
          <m:r>
            <m:rPr>
              <m:sty m:val="p"/>
            </m:rPr>
            <m:t>(</m:t>
          </m:r>
          <m:r>
            <m:t>8</m:t>
          </m:r>
          <m:r>
            <m:rPr>
              <m:sty m:val="p"/>
            </m:rPr>
            <m:t>)</m:t>
          </m:r>
        </m:oMath>
      </m:oMathPara>
      <w:bookmarkEnd w:id="51"/>
    </w:p>
    <w:p>
      <w:pPr>
        <w:pStyle w:val="FirstParagraph"/>
      </w:pPr>
      <w:r>
        <w:t xml:space="preserve">Participants’ factor-level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
          </m:rPr>
          <m:t>β</m:t>
        </m:r>
      </m:oMath>
      <w:r>
        <w:t xml:space="preserve"> </w:t>
      </w:r>
      <w:r>
        <w:t xml:space="preserve">is a vector of weights estimated for each level of each factor.</w:t>
      </w:r>
    </w:p>
    <w:bookmarkEnd w:id="52"/>
    <w:bookmarkEnd w:id="53"/>
    <w:bookmarkStart w:id="54" w:name="model-fitting-and-comparison"/>
    <w:p>
      <w:pPr>
        <w:pStyle w:val="Heading3"/>
      </w:pPr>
      <w:r>
        <w:t xml:space="preserve">4.4 Model fitting and comparison</w:t>
      </w:r>
    </w:p>
    <w:p>
      <w:pPr>
        <w:pStyle w:val="FirstParagraph"/>
      </w:pPr>
      <w:r>
        <w:t xml:space="preserve">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RT exceeded the response window (5 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prefernece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bookmarkEnd w:id="54"/>
    <w:bookmarkStart w:id="55" w:name="sec-factor-relevance-analysis"/>
    <w:p>
      <w:pPr>
        <w:pStyle w:val="Heading3"/>
      </w:pPr>
      <w:r>
        <w:t xml:space="preserve">4.5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4.2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bookmarkEnd w:id="55"/>
    <w:bookmarkStart w:id="57" w:name="sec-RT-model-method"/>
    <w:p>
      <w:pPr>
        <w:pStyle w:val="Heading3"/>
      </w:pPr>
      <w:r>
        <w:t xml:space="preserve">4.6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56"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56"/>
    </w:p>
    <w:p>
      <w:pPr>
        <w:pStyle w:val="FirstParagraph"/>
      </w:pPr>
      <w:r>
        <w:t xml:space="preserve">We predicted a positive modulation, such that forward planning conflict would be associated with longer RTs when preference entropy was high, that is, when preferences were weak or uncertain.</w:t>
      </w:r>
    </w:p>
    <w:bookmarkEnd w:id="57"/>
    <w:bookmarkEnd w:id="58"/>
    <w:bookmarkStart w:id="59" w:name="acknowledgements"/>
    <w:p>
      <w:pPr>
        <w:pStyle w:val="Heading2"/>
      </w:pPr>
      <w:r>
        <w:t xml:space="preserve">5 Acknowledgements</w:t>
      </w:r>
    </w:p>
    <w:bookmarkEnd w:id="59"/>
    <w:bookmarkStart w:id="60"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bookmarkEnd w:id="60"/>
    <w:bookmarkStart w:id="61"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bookmarkEnd w:id="61"/>
    <w:bookmarkStart w:id="111" w:name="references"/>
    <w:p>
      <w:pPr>
        <w:pStyle w:val="Heading2"/>
      </w:pPr>
      <w:r>
        <w:t xml:space="preserve">8 References</w:t>
      </w:r>
    </w:p>
    <w:bookmarkStart w:id="110"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8"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68"/>
    <w:bookmarkStart w:id="7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9">
        <w:r>
          <w:rPr>
            <w:rStyle w:val="Hyperlink"/>
          </w:rPr>
          <w:t xml:space="preserve">https://doi.org/10.18637/jss.v103.i15</w:t>
        </w:r>
      </w:hyperlink>
      <w:r>
        <w:t xml:space="preserve">.</w:t>
      </w:r>
    </w:p>
    <w:bookmarkEnd w:id="70"/>
    <w:bookmarkStart w:id="7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3"/>
    <w:bookmarkStart w:id="74"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4"/>
    <w:bookmarkStart w:id="75"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75"/>
    <w:bookmarkStart w:id="76"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78"/>
    <w:bookmarkStart w:id="79"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9"/>
    <w:bookmarkStart w:id="80"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80"/>
    <w:bookmarkStart w:id="81"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1"/>
    <w:bookmarkStart w:id="82"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2"/>
    <w:bookmarkStart w:id="83"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3"/>
    <w:bookmarkStart w:id="84"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4"/>
    <w:bookmarkStart w:id="85"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5"/>
    <w:bookmarkStart w:id="86"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6"/>
    <w:bookmarkStart w:id="87"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87"/>
    <w:bookmarkStart w:id="8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8"/>
    <w:bookmarkStart w:id="89"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9"/>
    <w:bookmarkStart w:id="91"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90">
        <w:r>
          <w:rPr>
            <w:rStyle w:val="Hyperlink"/>
          </w:rPr>
          <w:t xml:space="preserve">https://doi.org/10.1016/j.neuroimage.2022.119222</w:t>
        </w:r>
      </w:hyperlink>
      <w:r>
        <w:t xml:space="preserve">.</w:t>
      </w:r>
    </w:p>
    <w:bookmarkEnd w:id="91"/>
    <w:bookmarkStart w:id="93"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2">
        <w:r>
          <w:rPr>
            <w:rStyle w:val="Hyperlink"/>
          </w:rPr>
          <w:t xml:space="preserve">https://doi.org/10.5281/zenodo.6328296</w:t>
        </w:r>
      </w:hyperlink>
      <w:r>
        <w:t xml:space="preserve">.</w:t>
      </w:r>
    </w:p>
    <w:bookmarkEnd w:id="93"/>
    <w:bookmarkStart w:id="94"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4"/>
    <w:bookmarkStart w:id="95"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95"/>
    <w:bookmarkStart w:id="96"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96"/>
    <w:bookmarkStart w:id="97"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7"/>
    <w:bookmarkStart w:id="9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8"/>
    <w:bookmarkStart w:id="99"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99"/>
    <w:bookmarkStart w:id="10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00"/>
    <w:bookmarkStart w:id="10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01"/>
    <w:bookmarkStart w:id="10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02"/>
    <w:bookmarkStart w:id="10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3"/>
    <w:bookmarkStart w:id="10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4"/>
    <w:bookmarkStart w:id="10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5"/>
    <w:bookmarkStart w:id="106"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6"/>
    <w:bookmarkStart w:id="107"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7"/>
    <w:bookmarkStart w:id="108"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8"/>
    <w:bookmarkStart w:id="109"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9"/>
    <w:bookmarkEnd w:id="110"/>
    <w:bookmarkEnd w:id="111"/>
    <w:bookmarkStart w:id="138" w:name="supplementary-material"/>
    <w:p>
      <w:pPr>
        <w:pStyle w:val="Heading2"/>
      </w:pPr>
      <w:r>
        <w:t xml:space="preserve">9 Supplementary material</w:t>
      </w:r>
    </w:p>
    <w:bookmarkStart w:id="116"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115" w:name="suppfig-pref-planning-interaction"/>
          <w:p>
            <w:pPr>
              <w:pStyle w:val="Compact"/>
              <w:jc w:val="center"/>
            </w:pPr>
            <w:r>
              <w:drawing>
                <wp:inline>
                  <wp:extent cx="5334000" cy="7500679"/>
                  <wp:effectExtent b="0" l="0" r="0" t="0"/>
                  <wp:docPr descr="" title="" id="113" name="Picture"/>
                  <a:graphic>
                    <a:graphicData uri="http://schemas.openxmlformats.org/drawingml/2006/picture">
                      <pic:pic>
                        <pic:nvPicPr>
                          <pic:cNvPr descr="index_files/figure-docx/S1-supplementary_figures_tables-suppfig-pref-planning-interaction-output-1.png" id="114" name="Picture"/>
                          <pic:cNvPicPr>
                            <a:picLocks noChangeArrowheads="1" noChangeAspect="1"/>
                          </pic:cNvPicPr>
                        </pic:nvPicPr>
                        <pic:blipFill>
                          <a:blip r:embed="rId112"/>
                          <a:stretch>
                            <a:fillRect/>
                          </a:stretch>
                        </pic:blipFill>
                        <pic:spPr bwMode="auto">
                          <a:xfrm>
                            <a:off x="0" y="0"/>
                            <a:ext cx="5334000" cy="75006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115"/>
        </w:tc>
      </w:tr>
    </w:tbl>
    <w:bookmarkEnd w:id="116"/>
    <w:bookmarkStart w:id="119"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117"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-1492.49</w:t>
                  </w:r>
                </w:p>
              </w:tc>
              <w:tc>
                <w:tcPr/>
                <w:p>
                  <w:pPr>
                    <w:pStyle w:val="Compact"/>
                    <w:jc w:val="right"/>
                    <w:jc w:val="center"/>
                  </w:pPr>
                  <w:r>
                    <w:t xml:space="preserve">256.526</w:t>
                  </w:r>
                </w:p>
              </w:tc>
              <w:tc>
                <w:tcPr/>
                <w:p>
                  <w:pPr>
                    <w:pStyle w:val="Compact"/>
                    <w:jc w:val="right"/>
                    <w:jc w:val="center"/>
                  </w:pPr>
                  <w:r>
                    <w:t xml:space="preserve">0</w:t>
                  </w:r>
                </w:p>
              </w:tc>
              <w:tc>
                <w:tcPr/>
                <w:p>
                  <w:pPr>
                    <w:pStyle w:val="Compact"/>
                    <w:jc w:val="right"/>
                    <w:jc w:val="center"/>
                  </w:pPr>
                  <w:r>
                    <w:t xml:space="preserve">48.7651</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-1656.69</w:t>
                  </w:r>
                </w:p>
              </w:tc>
              <w:tc>
                <w:tcPr/>
                <w:p>
                  <w:pPr>
                    <w:pStyle w:val="Compact"/>
                    <w:jc w:val="right"/>
                    <w:jc w:val="center"/>
                  </w:pPr>
                  <w:r>
                    <w:t xml:space="preserve">159.175</w:t>
                  </w:r>
                </w:p>
              </w:tc>
              <w:tc>
                <w:tcPr/>
                <w:p>
                  <w:pPr>
                    <w:pStyle w:val="Compact"/>
                    <w:jc w:val="right"/>
                    <w:jc w:val="center"/>
                  </w:pPr>
                  <w:r>
                    <w:t xml:space="preserve">164.209</w:t>
                  </w:r>
                </w:p>
              </w:tc>
              <w:tc>
                <w:tcPr/>
                <w:p>
                  <w:pPr>
                    <w:pStyle w:val="Compact"/>
                    <w:jc w:val="right"/>
                    <w:jc w:val="center"/>
                  </w:pPr>
                  <w:r>
                    <w:t xml:space="preserve">52.4615</w:t>
                  </w:r>
                </w:p>
              </w:tc>
              <w:tc>
                <w:tcPr/>
                <w:p>
                  <w:pPr>
                    <w:pStyle w:val="Compact"/>
                    <w:jc w:val="right"/>
                    <w:jc w:val="center"/>
                  </w:pPr>
                  <w:r>
                    <w:t xml:space="preserve">19.671</w:t>
                  </w:r>
                </w:p>
              </w:tc>
            </w:tr>
            <w:tr>
              <w:tc>
                <w:tcPr/>
                <w:p>
                  <w:pPr>
                    <w:pStyle w:val="Compact"/>
                    <w:jc w:val="left"/>
                    <w:jc w:val="center"/>
                  </w:pPr>
                  <w:r>
                    <w:t xml:space="preserve">Frequency prior</w:t>
                  </w:r>
                </w:p>
              </w:tc>
              <w:tc>
                <w:tcPr/>
                <w:p>
                  <w:pPr>
                    <w:pStyle w:val="Compact"/>
                    <w:jc w:val="right"/>
                    <w:jc w:val="center"/>
                  </w:pPr>
                  <w:r>
                    <w:t xml:space="preserve">-2073.38</w:t>
                  </w:r>
                </w:p>
              </w:tc>
              <w:tc>
                <w:tcPr/>
                <w:p>
                  <w:pPr>
                    <w:pStyle w:val="Compact"/>
                    <w:jc w:val="right"/>
                    <w:jc w:val="center"/>
                  </w:pPr>
                  <w:r>
                    <w:t xml:space="preserve">77.0896</w:t>
                  </w:r>
                </w:p>
              </w:tc>
              <w:tc>
                <w:tcPr/>
                <w:p>
                  <w:pPr>
                    <w:pStyle w:val="Compact"/>
                    <w:jc w:val="right"/>
                    <w:jc w:val="center"/>
                  </w:pPr>
                  <w:r>
                    <w:t xml:space="preserve">580.889</w:t>
                  </w:r>
                </w:p>
              </w:tc>
              <w:tc>
                <w:tcPr/>
                <w:p>
                  <w:pPr>
                    <w:pStyle w:val="Compact"/>
                    <w:jc w:val="right"/>
                    <w:jc w:val="center"/>
                  </w:pPr>
                  <w:r>
                    <w:t xml:space="preserve">55.5712</w:t>
                  </w:r>
                </w:p>
              </w:tc>
              <w:tc>
                <w:tcPr/>
                <w:p>
                  <w:pPr>
                    <w:pStyle w:val="Compact"/>
                    <w:jc w:val="right"/>
                    <w:jc w:val="center"/>
                  </w:pPr>
                  <w:r>
                    <w:t xml:space="preserve">35.9363</w:t>
                  </w:r>
                </w:p>
              </w:tc>
            </w:tr>
            <w:tr>
              <w:tc>
                <w:tcPr/>
                <w:p>
                  <w:pPr>
                    <w:pStyle w:val="Compact"/>
                    <w:jc w:val="left"/>
                    <w:jc w:val="center"/>
                  </w:pPr>
                  <w:r>
                    <w:t xml:space="preserve">Planning</w:t>
                  </w:r>
                </w:p>
              </w:tc>
              <w:tc>
                <w:tcPr/>
                <w:p>
                  <w:pPr>
                    <w:pStyle w:val="Compact"/>
                    <w:jc w:val="right"/>
                    <w:jc w:val="center"/>
                  </w:pPr>
                  <w:r>
                    <w:t xml:space="preserve">-2078.46</w:t>
                  </w:r>
                </w:p>
              </w:tc>
              <w:tc>
                <w:tcPr/>
                <w:p>
                  <w:pPr>
                    <w:pStyle w:val="Compact"/>
                    <w:jc w:val="right"/>
                    <w:jc w:val="center"/>
                  </w:pPr>
                  <w:r>
                    <w:t xml:space="preserve">68.3847</w:t>
                  </w:r>
                </w:p>
              </w:tc>
              <w:tc>
                <w:tcPr/>
                <w:p>
                  <w:pPr>
                    <w:pStyle w:val="Compact"/>
                    <w:jc w:val="right"/>
                    <w:jc w:val="center"/>
                  </w:pPr>
                  <w:r>
                    <w:t xml:space="preserve">585.976</w:t>
                  </w:r>
                </w:p>
              </w:tc>
              <w:tc>
                <w:tcPr/>
                <w:p>
                  <w:pPr>
                    <w:pStyle w:val="Compact"/>
                    <w:jc w:val="right"/>
                    <w:jc w:val="center"/>
                  </w:pPr>
                  <w:r>
                    <w:t xml:space="preserve">55.58</w:t>
                  </w:r>
                </w:p>
              </w:tc>
              <w:tc>
                <w:tcPr/>
                <w:p>
                  <w:pPr>
                    <w:pStyle w:val="Compact"/>
                    <w:jc w:val="right"/>
                    <w:jc w:val="center"/>
                  </w:pPr>
                  <w:r>
                    <w:t xml:space="preserve">36.1456</w:t>
                  </w:r>
                </w:p>
              </w:tc>
            </w:tr>
          </w:tbl>
          <w:bookmarkEnd w:id="117"/>
          <w:p/>
        </w:tc>
      </w:tr>
    </w:tbl>
    <w:tbl>
      <w:tblPr>
        <w:tblStyle w:val="Table"/>
        <w:tblW w:type="pct" w:w="5000"/>
        <w:tblLayout w:type="fixed"/>
        <w:tblLook w:firstRow="0" w:lastRow="0" w:firstColumn="0" w:lastColumn="0" w:noHBand="0" w:noVBand="0" w:val="0000"/>
      </w:tblPr>
      <w:tblGrid>
        <w:gridCol w:w="7920"/>
      </w:tblGrid>
      <w:tr>
        <w:tc>
          <w:tcPr/>
          <w:bookmarkStart w:id="118"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assopciated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p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2.072</w:t>
                  </w:r>
                </w:p>
              </w:tc>
              <w:tc>
                <w:tcPr/>
                <w:p>
                  <w:pPr>
                    <w:pStyle w:val="Compact"/>
                    <w:jc w:val="right"/>
                    <w:jc w:val="center"/>
                  </w:pPr>
                  <w:r>
                    <w:t xml:space="preserve">0.242</w:t>
                  </w:r>
                </w:p>
              </w:tc>
              <w:tc>
                <w:tcPr/>
                <w:p>
                  <w:pPr>
                    <w:pStyle w:val="Compact"/>
                    <w:jc w:val="right"/>
                    <w:jc w:val="center"/>
                  </w:pPr>
                  <w:r>
                    <w:t xml:space="preserve">1.614</w:t>
                  </w:r>
                </w:p>
              </w:tc>
              <w:tc>
                <w:tcPr/>
                <w:p>
                  <w:pPr>
                    <w:pStyle w:val="Compact"/>
                    <w:jc w:val="right"/>
                    <w:jc w:val="center"/>
                  </w:pPr>
                  <w:r>
                    <w:t xml:space="preserve">2.573</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-2.374</w:t>
                  </w:r>
                </w:p>
              </w:tc>
              <w:tc>
                <w:tcPr/>
                <w:p>
                  <w:pPr>
                    <w:pStyle w:val="Compact"/>
                    <w:jc w:val="right"/>
                    <w:jc w:val="center"/>
                  </w:pPr>
                  <w:r>
                    <w:t xml:space="preserve">0.971</w:t>
                  </w:r>
                </w:p>
              </w:tc>
              <w:tc>
                <w:tcPr/>
                <w:p>
                  <w:pPr>
                    <w:pStyle w:val="Compact"/>
                    <w:jc w:val="right"/>
                    <w:jc w:val="center"/>
                  </w:pPr>
                  <w:r>
                    <w:t xml:space="preserve">-4.232</w:t>
                  </w:r>
                </w:p>
              </w:tc>
              <w:tc>
                <w:tcPr/>
                <w:p>
                  <w:pPr>
                    <w:pStyle w:val="Compact"/>
                    <w:jc w:val="right"/>
                    <w:jc w:val="center"/>
                  </w:pPr>
                  <w:r>
                    <w:t xml:space="preserve">-0.426</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-1.625</w:t>
                  </w:r>
                </w:p>
              </w:tc>
              <w:tc>
                <w:tcPr/>
                <w:p>
                  <w:pPr>
                    <w:pStyle w:val="Compact"/>
                    <w:jc w:val="right"/>
                    <w:jc w:val="center"/>
                  </w:pPr>
                  <w:r>
                    <w:t xml:space="preserve">0.938</w:t>
                  </w:r>
                </w:p>
              </w:tc>
              <w:tc>
                <w:tcPr/>
                <w:p>
                  <w:pPr>
                    <w:pStyle w:val="Compact"/>
                    <w:jc w:val="right"/>
                    <w:jc w:val="center"/>
                  </w:pPr>
                  <w:r>
                    <w:t xml:space="preserve">-3.535</w:t>
                  </w:r>
                </w:p>
              </w:tc>
              <w:tc>
                <w:tcPr/>
                <w:p>
                  <w:pPr>
                    <w:pStyle w:val="Compact"/>
                    <w:jc w:val="right"/>
                    <w:jc w:val="center"/>
                  </w:pPr>
                  <w:r>
                    <w:t xml:space="preserve">0.092</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1.627</w:t>
                  </w:r>
                </w:p>
              </w:tc>
              <w:tc>
                <w:tcPr/>
                <w:p>
                  <w:pPr>
                    <w:pStyle w:val="Compact"/>
                    <w:jc w:val="right"/>
                    <w:jc w:val="center"/>
                  </w:pPr>
                  <w:r>
                    <w:t xml:space="preserve">0.945</w:t>
                  </w:r>
                </w:p>
              </w:tc>
              <w:tc>
                <w:tcPr/>
                <w:p>
                  <w:pPr>
                    <w:pStyle w:val="Compact"/>
                    <w:jc w:val="right"/>
                    <w:jc w:val="center"/>
                  </w:pPr>
                  <w:r>
                    <w:t xml:space="preserve">-0.22</w:t>
                  </w:r>
                </w:p>
              </w:tc>
              <w:tc>
                <w:tcPr/>
                <w:p>
                  <w:pPr>
                    <w:pStyle w:val="Compact"/>
                    <w:jc w:val="right"/>
                    <w:jc w:val="center"/>
                  </w:pPr>
                  <w:r>
                    <w:t xml:space="preserve">3.453</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2.923</w:t>
                  </w:r>
                </w:p>
              </w:tc>
              <w:tc>
                <w:tcPr/>
                <w:p>
                  <w:pPr>
                    <w:pStyle w:val="Compact"/>
                    <w:jc w:val="right"/>
                    <w:jc w:val="center"/>
                  </w:pPr>
                  <w:r>
                    <w:t xml:space="preserve">0.976</w:t>
                  </w:r>
                </w:p>
              </w:tc>
              <w:tc>
                <w:tcPr/>
                <w:p>
                  <w:pPr>
                    <w:pStyle w:val="Compact"/>
                    <w:jc w:val="right"/>
                    <w:jc w:val="center"/>
                  </w:pPr>
                  <w:r>
                    <w:t xml:space="preserve">1.054</w:t>
                  </w:r>
                </w:p>
              </w:tc>
              <w:tc>
                <w:tcPr/>
                <w:p>
                  <w:pPr>
                    <w:pStyle w:val="Compact"/>
                    <w:jc w:val="right"/>
                    <w:jc w:val="center"/>
                  </w:pPr>
                  <w:r>
                    <w:t xml:space="preserve">4.842</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0.765</w:t>
                  </w:r>
                </w:p>
              </w:tc>
              <w:tc>
                <w:tcPr/>
                <w:p>
                  <w:pPr>
                    <w:pStyle w:val="Compact"/>
                    <w:jc w:val="right"/>
                    <w:jc w:val="center"/>
                  </w:pPr>
                  <w:r>
                    <w:t xml:space="preserve">1.161</w:t>
                  </w:r>
                </w:p>
              </w:tc>
              <w:tc>
                <w:tcPr/>
                <w:p>
                  <w:pPr>
                    <w:pStyle w:val="Compact"/>
                    <w:jc w:val="right"/>
                    <w:jc w:val="center"/>
                  </w:pPr>
                  <w:r>
                    <w:t xml:space="preserve">-1.488</w:t>
                  </w:r>
                </w:p>
              </w:tc>
              <w:tc>
                <w:tcPr/>
                <w:p>
                  <w:pPr>
                    <w:pStyle w:val="Compact"/>
                    <w:jc w:val="right"/>
                    <w:jc w:val="center"/>
                  </w:pPr>
                  <w:r>
                    <w:t xml:space="preserve">3.105</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-0.127</w:t>
                  </w:r>
                </w:p>
              </w:tc>
              <w:tc>
                <w:tcPr/>
                <w:p>
                  <w:pPr>
                    <w:pStyle w:val="Compact"/>
                    <w:jc w:val="right"/>
                    <w:jc w:val="center"/>
                  </w:pPr>
                  <w:r>
                    <w:t xml:space="preserve">1.165</w:t>
                  </w:r>
                </w:p>
              </w:tc>
              <w:tc>
                <w:tcPr/>
                <w:p>
                  <w:pPr>
                    <w:pStyle w:val="Compact"/>
                    <w:jc w:val="right"/>
                    <w:jc w:val="center"/>
                  </w:pPr>
                  <w:r>
                    <w:t xml:space="preserve">-2.482</w:t>
                  </w:r>
                </w:p>
              </w:tc>
              <w:tc>
                <w:tcPr/>
                <w:p>
                  <w:pPr>
                    <w:pStyle w:val="Compact"/>
                    <w:jc w:val="right"/>
                    <w:jc w:val="center"/>
                  </w:pPr>
                  <w:r>
                    <w:t xml:space="preserve">2.144</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0.457</w:t>
                  </w:r>
                </w:p>
              </w:tc>
              <w:tc>
                <w:tcPr/>
                <w:p>
                  <w:pPr>
                    <w:pStyle w:val="Compact"/>
                    <w:jc w:val="right"/>
                    <w:jc w:val="center"/>
                  </w:pPr>
                  <w:r>
                    <w:t xml:space="preserve">1.149</w:t>
                  </w:r>
                </w:p>
              </w:tc>
              <w:tc>
                <w:tcPr/>
                <w:p>
                  <w:pPr>
                    <w:pStyle w:val="Compact"/>
                    <w:jc w:val="right"/>
                    <w:jc w:val="center"/>
                  </w:pPr>
                  <w:r>
                    <w:t xml:space="preserve">-1.86</w:t>
                  </w:r>
                </w:p>
              </w:tc>
              <w:tc>
                <w:tcPr/>
                <w:p>
                  <w:pPr>
                    <w:pStyle w:val="Compact"/>
                    <w:jc w:val="right"/>
                    <w:jc w:val="center"/>
                  </w:pPr>
                  <w:r>
                    <w:t xml:space="preserve">2.557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0.21</w:t>
                  </w:r>
                </w:p>
              </w:tc>
              <w:tc>
                <w:tcPr/>
                <w:p>
                  <w:pPr>
                    <w:pStyle w:val="Compact"/>
                    <w:jc w:val="right"/>
                    <w:jc w:val="center"/>
                  </w:pPr>
                  <w:r>
                    <w:t xml:space="preserve">1.149</w:t>
                  </w:r>
                </w:p>
              </w:tc>
              <w:tc>
                <w:tcPr/>
                <w:p>
                  <w:pPr>
                    <w:pStyle w:val="Compact"/>
                    <w:jc w:val="right"/>
                    <w:jc w:val="center"/>
                  </w:pPr>
                  <w:r>
                    <w:t xml:space="preserve">-2.051</w:t>
                  </w:r>
                </w:p>
              </w:tc>
              <w:tc>
                <w:tcPr/>
                <w:p>
                  <w:pPr>
                    <w:pStyle w:val="Compact"/>
                    <w:jc w:val="right"/>
                    <w:jc w:val="center"/>
                  </w:pPr>
                  <w:r>
                    <w:t xml:space="preserve">2.359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-4.438</w:t>
                  </w:r>
                </w:p>
              </w:tc>
              <w:tc>
                <w:tcPr/>
                <w:p>
                  <w:pPr>
                    <w:pStyle w:val="Compact"/>
                    <w:jc w:val="right"/>
                    <w:jc w:val="center"/>
                  </w:pPr>
                  <w:r>
                    <w:t xml:space="preserve">0.935</w:t>
                  </w:r>
                </w:p>
              </w:tc>
              <w:tc>
                <w:tcPr/>
                <w:p>
                  <w:pPr>
                    <w:pStyle w:val="Compact"/>
                    <w:jc w:val="right"/>
                    <w:jc w:val="center"/>
                  </w:pPr>
                  <w:r>
                    <w:t xml:space="preserve">-6.247</w:t>
                  </w:r>
                </w:p>
              </w:tc>
              <w:tc>
                <w:tcPr/>
                <w:p>
                  <w:pPr>
                    <w:pStyle w:val="Compact"/>
                    <w:jc w:val="right"/>
                    <w:jc w:val="center"/>
                  </w:pPr>
                  <w:r>
                    <w:t xml:space="preserve">-2.627</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-0.48</w:t>
                  </w:r>
                </w:p>
              </w:tc>
              <w:tc>
                <w:tcPr/>
                <w:p>
                  <w:pPr>
                    <w:pStyle w:val="Compact"/>
                    <w:jc w:val="right"/>
                    <w:jc w:val="center"/>
                  </w:pPr>
                  <w:r>
                    <w:t xml:space="preserve">0.781</w:t>
                  </w:r>
                </w:p>
              </w:tc>
              <w:tc>
                <w:tcPr/>
                <w:p>
                  <w:pPr>
                    <w:pStyle w:val="Compact"/>
                    <w:jc w:val="right"/>
                    <w:jc w:val="center"/>
                  </w:pPr>
                  <w:r>
                    <w:t xml:space="preserve">-1.994</w:t>
                  </w:r>
                </w:p>
              </w:tc>
              <w:tc>
                <w:tcPr/>
                <w:p>
                  <w:pPr>
                    <w:pStyle w:val="Compact"/>
                    <w:jc w:val="right"/>
                    <w:jc w:val="center"/>
                  </w:pPr>
                  <w:r>
                    <w:t xml:space="preserve">1.076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-0.02</w:t>
                  </w:r>
                </w:p>
              </w:tc>
              <w:tc>
                <w:tcPr/>
                <w:p>
                  <w:pPr>
                    <w:pStyle w:val="Compact"/>
                    <w:jc w:val="right"/>
                    <w:jc w:val="center"/>
                  </w:pPr>
                  <w:r>
                    <w:t xml:space="preserve">0.75</w:t>
                  </w:r>
                </w:p>
              </w:tc>
              <w:tc>
                <w:tcPr/>
                <w:p>
                  <w:pPr>
                    <w:pStyle w:val="Compact"/>
                    <w:jc w:val="right"/>
                    <w:jc w:val="center"/>
                  </w:pPr>
                  <w:r>
                    <w:t xml:space="preserve">-1.473</w:t>
                  </w:r>
                </w:p>
              </w:tc>
              <w:tc>
                <w:tcPr/>
                <w:p>
                  <w:pPr>
                    <w:pStyle w:val="Compact"/>
                    <w:jc w:val="right"/>
                    <w:jc w:val="center"/>
                  </w:pPr>
                  <w:r>
                    <w:t xml:space="preserve">1.492</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0.203</w:t>
                  </w:r>
                </w:p>
              </w:tc>
              <w:tc>
                <w:tcPr/>
                <w:p>
                  <w:pPr>
                    <w:pStyle w:val="Compact"/>
                    <w:jc w:val="right"/>
                    <w:jc w:val="center"/>
                  </w:pPr>
                  <w:r>
                    <w:t xml:space="preserve">0.748</w:t>
                  </w:r>
                </w:p>
              </w:tc>
              <w:tc>
                <w:tcPr/>
                <w:p>
                  <w:pPr>
                    <w:pStyle w:val="Compact"/>
                    <w:jc w:val="right"/>
                    <w:jc w:val="center"/>
                  </w:pPr>
                  <w:r>
                    <w:t xml:space="preserve">-1.228</w:t>
                  </w:r>
                </w:p>
              </w:tc>
              <w:tc>
                <w:tcPr/>
                <w:p>
                  <w:pPr>
                    <w:pStyle w:val="Compact"/>
                    <w:jc w:val="right"/>
                    <w:jc w:val="center"/>
                  </w:pPr>
                  <w:r>
                    <w:t xml:space="preserve">1.688</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w:t>
                  </w:r>
                </w:p>
              </w:tc>
              <w:tc>
                <w:tcPr/>
                <w:p>
                  <w:pPr>
                    <w:pStyle w:val="Compact"/>
                    <w:jc w:val="right"/>
                    <w:jc w:val="center"/>
                  </w:pPr>
                  <w:r>
                    <w:t xml:space="preserve">0.758</w:t>
                  </w:r>
                </w:p>
              </w:tc>
              <w:tc>
                <w:tcPr/>
                <w:p>
                  <w:pPr>
                    <w:pStyle w:val="Compact"/>
                    <w:jc w:val="right"/>
                    <w:jc w:val="center"/>
                  </w:pPr>
                  <w:r>
                    <w:t xml:space="preserve">-1.186</w:t>
                  </w:r>
                </w:p>
              </w:tc>
              <w:tc>
                <w:tcPr/>
                <w:p>
                  <w:pPr>
                    <w:pStyle w:val="Compact"/>
                    <w:jc w:val="right"/>
                    <w:jc w:val="center"/>
                  </w:pPr>
                  <w:r>
                    <w:t xml:space="preserve">1.799</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0.793</w:t>
                  </w:r>
                </w:p>
              </w:tc>
              <w:tc>
                <w:tcPr/>
                <w:p>
                  <w:pPr>
                    <w:pStyle w:val="Compact"/>
                    <w:jc w:val="right"/>
                    <w:jc w:val="center"/>
                  </w:pPr>
                  <w:r>
                    <w:t xml:space="preserve">0.769</w:t>
                  </w:r>
                </w:p>
              </w:tc>
              <w:tc>
                <w:tcPr/>
                <w:p>
                  <w:pPr>
                    <w:pStyle w:val="Compact"/>
                    <w:jc w:val="right"/>
                    <w:jc w:val="center"/>
                  </w:pPr>
                  <w:r>
                    <w:t xml:space="preserve">-0.602</w:t>
                  </w:r>
                </w:p>
              </w:tc>
              <w:tc>
                <w:tcPr/>
                <w:p>
                  <w:pPr>
                    <w:pStyle w:val="Compact"/>
                    <w:jc w:val="right"/>
                    <w:jc w:val="center"/>
                  </w:pPr>
                  <w:r>
                    <w:t xml:space="preserve">2.44</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4.195</w:t>
                  </w:r>
                </w:p>
              </w:tc>
              <w:tc>
                <w:tcPr/>
                <w:p>
                  <w:pPr>
                    <w:pStyle w:val="Compact"/>
                    <w:jc w:val="right"/>
                    <w:jc w:val="center"/>
                  </w:pPr>
                  <w:r>
                    <w:t xml:space="preserve">0.962</w:t>
                  </w:r>
                </w:p>
              </w:tc>
              <w:tc>
                <w:tcPr/>
                <w:p>
                  <w:pPr>
                    <w:pStyle w:val="Compact"/>
                    <w:jc w:val="right"/>
                    <w:jc w:val="center"/>
                  </w:pPr>
                  <w:r>
                    <w:t xml:space="preserve">2.363</w:t>
                  </w:r>
                </w:p>
              </w:tc>
              <w:tc>
                <w:tcPr/>
                <w:p>
                  <w:pPr>
                    <w:pStyle w:val="Compact"/>
                    <w:jc w:val="right"/>
                    <w:jc w:val="center"/>
                  </w:pPr>
                  <w:r>
                    <w:t xml:space="preserve">6.132</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1.306</w:t>
                  </w:r>
                </w:p>
              </w:tc>
              <w:tc>
                <w:tcPr/>
                <w:p>
                  <w:pPr>
                    <w:pStyle w:val="Compact"/>
                    <w:jc w:val="right"/>
                    <w:jc w:val="center"/>
                  </w:pPr>
                  <w:r>
                    <w:t xml:space="preserve">0.508</w:t>
                  </w:r>
                </w:p>
              </w:tc>
              <w:tc>
                <w:tcPr/>
                <w:p>
                  <w:pPr>
                    <w:pStyle w:val="Compact"/>
                    <w:jc w:val="right"/>
                    <w:jc w:val="center"/>
                  </w:pPr>
                  <w:r>
                    <w:t xml:space="preserve">0.258</w:t>
                  </w:r>
                </w:p>
              </w:tc>
              <w:tc>
                <w:tcPr/>
                <w:p>
                  <w:pPr>
                    <w:pStyle w:val="Compact"/>
                    <w:jc w:val="right"/>
                    <w:jc w:val="center"/>
                  </w:pPr>
                  <w:r>
                    <w:t xml:space="preserve">2.256</w:t>
                  </w:r>
                </w:p>
              </w:tc>
            </w:tr>
          </w:tbl>
          <w:bookmarkEnd w:id="118"/>
          <w:p/>
        </w:tc>
      </w:tr>
    </w:tbl>
    <w:bookmarkEnd w:id="119"/>
    <w:bookmarkStart w:id="132" w:name="supplementary-model-comparison"/>
    <w:p>
      <w:pPr>
        <w:pStyle w:val="Heading3"/>
      </w:pPr>
      <w:r>
        <w:t xml:space="preserve">9.3 Supplementary model comparison</w:t>
      </w:r>
    </w:p>
    <w:bookmarkStart w:id="125"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123" w:name="suppfig-preference_model_comparison"/>
          <w:p>
            <w:pPr>
              <w:pStyle w:val="Compact"/>
              <w:jc w:val="center"/>
            </w:pPr>
            <w:r>
              <w:drawing>
                <wp:inline>
                  <wp:extent cx="5334000" cy="4622320"/>
                  <wp:effectExtent b="0" l="0" r="0" t="0"/>
                  <wp:docPr descr="" title="" id="121" name="Picture"/>
                  <a:graphic>
                    <a:graphicData uri="http://schemas.openxmlformats.org/drawingml/2006/picture">
                      <pic:pic>
                        <pic:nvPicPr>
                          <pic:cNvPr descr="index_files/figure-docx/S2-choice_model_comparison-suppfig-preference_model_comparison-output-1.png" id="122" name="Picture"/>
                          <pic:cNvPicPr>
                            <a:picLocks noChangeArrowheads="1" noChangeAspect="1"/>
                          </pic:cNvPicPr>
                        </pic:nvPicPr>
                        <pic:blipFill>
                          <a:blip r:embed="rId120"/>
                          <a:stretch>
                            <a:fillRect/>
                          </a:stretch>
                        </pic:blipFill>
                        <pic:spPr bwMode="auto">
                          <a:xfrm>
                            <a:off x="0" y="0"/>
                            <a:ext cx="5334000" cy="462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(No_FC) model where future cost factor was omitted from preferences, (No_CC) model where future cost factor was omitted from preferences, (No_Planning) model where DV was omitted, (No_Energy) model where energy factor was omitted from preferences, (No_Offer) model where offer factor was omitted from preferences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4"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-1517.79</w:t>
                  </w:r>
                </w:p>
              </w:tc>
              <w:tc>
                <w:tcPr/>
                <w:p>
                  <w:pPr>
                    <w:pStyle w:val="Compact"/>
                    <w:jc w:val="right"/>
                    <w:jc w:val="center"/>
                  </w:pPr>
                  <w:r>
                    <w:t xml:space="preserve">227.725</w:t>
                  </w:r>
                </w:p>
              </w:tc>
              <w:tc>
                <w:tcPr/>
                <w:p>
                  <w:pPr>
                    <w:pStyle w:val="Compact"/>
                    <w:jc w:val="right"/>
                    <w:jc w:val="center"/>
                  </w:pPr>
                  <w:r>
                    <w:t xml:space="preserve">25.3217</w:t>
                  </w:r>
                </w:p>
              </w:tc>
              <w:tc>
                <w:tcPr/>
                <w:p>
                  <w:pPr>
                    <w:pStyle w:val="Compact"/>
                    <w:jc w:val="right"/>
                    <w:jc w:val="center"/>
                  </w:pPr>
                  <w:r>
                    <w:t xml:space="preserve">48.5354</w:t>
                  </w:r>
                </w:p>
              </w:tc>
              <w:tc>
                <w:tcPr/>
                <w:p>
                  <w:pPr>
                    <w:pStyle w:val="Compact"/>
                    <w:jc w:val="right"/>
                    <w:jc w:val="center"/>
                  </w:pPr>
                  <w:r>
                    <w:t xml:space="preserve">7.61146</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124"/>
          <w:p/>
        </w:tc>
      </w:tr>
    </w:tbl>
    <w:bookmarkEnd w:id="125"/>
    <w:bookmarkStart w:id="131"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witk</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129" w:name="suppfig-frequency_model_comparison"/>
          <w:p>
            <w:pPr>
              <w:pStyle w:val="Compact"/>
              <w:jc w:val="center"/>
            </w:pPr>
            <w:r>
              <w:drawing>
                <wp:inline>
                  <wp:extent cx="5334000" cy="5418265"/>
                  <wp:effectExtent b="0" l="0" r="0" t="0"/>
                  <wp:docPr descr="" title="" id="127" name="Picture"/>
                  <a:graphic>
                    <a:graphicData uri="http://schemas.openxmlformats.org/drawingml/2006/picture">
                      <pic:pic>
                        <pic:nvPicPr>
                          <pic:cNvPr descr="index_files/figure-docx/S2-choice_model_comparison-suppfig-frequency_model_comparison-output-1.png" id="128" name="Picture"/>
                          <pic:cNvPicPr>
                            <a:picLocks noChangeArrowheads="1" noChangeAspect="1"/>
                          </pic:cNvPicPr>
                        </pic:nvPicPr>
                        <pic:blipFill>
                          <a:blip r:embed="rId126"/>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130"/>
          <w:p/>
        </w:tc>
      </w:tr>
    </w:tbl>
    <w:bookmarkEnd w:id="131"/>
    <w:bookmarkEnd w:id="132"/>
    <w:bookmarkStart w:id="137" w:name="parameters-recovery"/>
    <w:p>
      <w:pPr>
        <w:pStyle w:val="Heading3"/>
      </w:pPr>
      <w:r>
        <w:t xml:space="preserve">9.4 Parameters recovery:</w:t>
      </w:r>
    </w:p>
    <w:p>
      <w:pPr>
        <w:pStyle w:val="FirstParagraph"/>
      </w:pPr>
      <w:r>
        <w:t xml:space="preserve">In the main text, the preference model was observed to fit participants behavior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136" w:name="suppfig-population_parameter_recovery"/>
          <w:p>
            <w:pPr>
              <w:pStyle w:val="Compact"/>
              <w:jc w:val="center"/>
            </w:pPr>
            <w:r>
              <w:drawing>
                <wp:inline>
                  <wp:extent cx="5334000" cy="3088579"/>
                  <wp:effectExtent b="0" l="0" r="0" t="0"/>
                  <wp:docPr descr="" title="" id="134" name="Picture"/>
                  <a:graphic>
                    <a:graphicData uri="http://schemas.openxmlformats.org/drawingml/2006/picture">
                      <pic:pic>
                        <pic:nvPicPr>
                          <pic:cNvPr descr="index_files/figure-docx/S3-parameters_recovery-suppfig-population_parameter_recovery-output-1.png" id="135" name="Picture"/>
                          <pic:cNvPicPr>
                            <a:picLocks noChangeArrowheads="1" noChangeAspect="1"/>
                          </pic:cNvPicPr>
                        </pic:nvPicPr>
                        <pic:blipFill>
                          <a:blip r:embed="rId133"/>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136"/>
        </w:tc>
      </w:tr>
    </w:tbl>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jp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Kiebel</dc:creator>
  <cp:keywords>Decision making, Reinforcement learning</cp:keywords>
  <dcterms:created xsi:type="dcterms:W3CDTF">2026-09-18T09:32:05Z</dcterms:created>
  <dcterms:modified xsi:type="dcterms:W3CDTF">2026-09-18T09:32:05Z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2026-09-18</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