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34.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Stefan Kiebel</w:t>
      </w:r>
    </w:p>
    <w:p>
      <w:pPr>
        <w:pStyle w:val="Date"/>
      </w:pPr>
      <w:r>
        <w:t xml:space="preserve">2026-06-05</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Sensory evidence is often noisy, incomplete, or costly to acquire with high precision: better evidence may require more time, attention, sampling, or specialized processing. The Bayesian solution is to combine current evidence with prior information derived from experience and the statistical structure of the environment.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We propose that an analogous principle applies to planning-based decision making. In this case, the role of sensory evidence is taken by an internally generated estimate of action value. In sequential decision tasks, such estimates can be generated by internal forward planning, which provides state-specific information about the long-value of choosing an action. However, generating these estimates is computationally costly because it requires evaluating future outcomes in complex and dynamic environments. In analogy to the Bayesian view on perception, agents may therefore combine their estimates derived from costly forward planning, with stored prior information about which actions are usually appropriate in a given task.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Following these previous accounts, we assume that choices in complex sequential decision making reflect the integration of two sources of information about action. First, participants have acquired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These values are computationally costly and represent state-specific evidence for each action. Assuming a Bayesian approach, we hypothesize that these two sources are integrated by weighting the contribution of planning against preferences by their respective uncertainties. This hypothesis implies that strong preferences should guide choices and produce faster responses because less planning is needed. Weak or uncertain preferences should increase reliance on forward planning and make choices more sensitive to planning-derived DV and produce longer response times because of the involved computations.</w:t>
      </w:r>
    </w:p>
    <w:p>
      <w:pPr>
        <w:pStyle w:val="BodyText"/>
      </w:pPr>
      <w:r>
        <w:t xml:space="preserve">In this paper, we test this hypothesis in a complex sequential decision-making task, using model comparisons and response-time analyses. We compare models in which choice variability is explained by recent action frequencies, coarse contextual divisions of the state space, or structured preferences derived from task features. Our results show that participants’ choices are best captured by a model that combines planning-derived DV with state-dependent preferences constructed from multiple task features. We further show that these preferences interact with planning such that choices are guided more strongly by planning when preferences are weak, and more strongly by preferences when they are decisive. Together, these findings suggest that human sequential decision making reflects the integration of costly planning with structured, task-informed preferences that simplify action selection.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3"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offers associated with a reward of 1, 2, 3 or 4 points which they could either accept or reject. To accept an offer, participants had to pay an energy cost of either 1 or 2 energy points (low cost, LC and high cost, LC segments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conscecutive trials, which we refer to as a segment, and participants were informed of the price of the current 4 trials and future 4 trials. The costs of the segment beyond the current horizon was randomly picked such that each costs transitions (from current high or low cost to future high or low cost) were equally probable throughout the experiment. When participants accept an offer that they cannot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participants had to decide whether to accept or reject an offer based on the current offer and cost ratio. They also had to take into account the impact of their current decision on their future capabilities to accept offers, as systematically accepting offer will deplete energy fast, hindering their capacity to collect more reward. Therefore, maximizing overall return is non trivial in this task and requires complex planning.</w:t>
      </w:r>
    </w:p>
    <w:p>
      <w:pPr>
        <w:pStyle w:val="BodyText"/>
      </w:pPr>
      <w:r>
        <w:t xml:space="preserve">The temporal structure of the trials was as follows. In the beginning of each trial, a fixation cross was presented for 0.5s in the middle of the screen. Then, an offer appeared represented by the number of</w:t>
      </w:r>
      <w:r>
        <w:t xml:space="preserve"> </w:t>
      </w:r>
      <w:r>
        <w:t xml:space="preserve">“cups”</w:t>
      </w:r>
      <w:r>
        <w:t xml:space="preserve"> </w:t>
      </w:r>
      <w:r>
        <w:t xml:space="preserve">presented in the middle of the screen and choice options were presented on each sides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The test session was performed in a fMRI scanner, while the training session was performed outside of it. In both cases, participants started with an energy budget of 3, and their reward points were accumulated throughout the entire experiment. Trial sequence was pseudorandomized, such that each costs transitions (LC to LC, LC to HC, HC to LC and HC to HC, see figure</w:t>
      </w:r>
      <w:r>
        <w:t xml:space="preserve"> </w:t>
      </w:r>
      <w:hyperlink w:anchor="fig-design">
        <w:r>
          <w:rPr>
            <w:rStyle w:val="Hyperlink"/>
          </w:rPr>
          <w:t xml:space="preserve">Figure 1</w:t>
        </w:r>
      </w:hyperlink>
      <w:r>
        <w:t xml:space="preserve">) occured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planning considering outcomes up until the end of the task we modelled only 12 trials instead of the 240, assuming it unlikely that participants would consider trials far remote from the current horizon when planning. As the task consists of a sequence of segment pairs (8 trials) and that participants only have information regarding the state transitions within this known horizon, maximizing returns can be approximated by determining the optimal policy within these trials. However, modeling only 8 trials would imply that the task ends after those, inducing the optimal policy to aim to use up all energy by then, which would not be optimal as the task continues beyond the known horizon. To account for this, we extended the horizon to 13 trials, to ensure that energy is preserved for future segments. This enabled us to operationalize the task as an episodice MDP and solve it for a finite horizon of 13 trials. In the first 8 trials, the probability of the next state reflects the offer related stochasticity, while the rest is deterministic. For trials beyond the known horizon the uncertainty associated with the offer is compounded by the uncertainty related to the costs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8"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fitted 4 different models in which the</w:t>
      </w:r>
      <w:r>
        <w:t xml:space="preserve"> </w:t>
      </w:r>
      <m:oMath>
        <m:r>
          <m:t>η</m:t>
        </m:r>
      </m:oMath>
      <w:r>
        <w:t xml:space="preserve"> </w:t>
      </w:r>
      <w:r>
        <w:t xml:space="preserve">parameter is computed based on a planning component and additional regressors capturing different hypothesis regarding what underlies the deviation from optimality in participants response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fitted a pure</w:t>
      </w:r>
      <w:r>
        <w:t xml:space="preserve"> </w:t>
      </w:r>
      <w:r>
        <w:rPr>
          <w:b/>
          <w:bCs/>
        </w:rPr>
        <w:t xml:space="preserve">planning model</w:t>
      </w:r>
      <w:r>
        <w:t xml:space="preserve">,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in participants responses reflects unstructured noise, alternative models with additional regressors would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frequenct action in recent history. Several Bayesian account of planning consider that priors consist of a state independent recency bias</w:t>
      </w:r>
      <w:r>
        <w:t xml:space="preserve"> </w:t>
      </w:r>
      <w:r>
        <w:t xml:space="preserve">(Schwöbel et al. 2021, 2024; Kuperwajs and Ma 2021)</w:t>
      </w:r>
      <w:r>
        <w:t xml:space="preserve">.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t>
      </w:r>
      <w:r>
        <w:t xml:space="preserve">where participants responses is modelled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 </w:t>
      </w:r>
      <w:r>
        <w:t xml:space="preserve">as well as using an exponential decay kernel):</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from</w:t>
      </w:r>
      <w:r>
        <w:t xml:space="preserve"> </w:t>
      </w:r>
      <w:r>
        <w:t xml:space="preserve">Ott et al. (2022a)</w:t>
      </w:r>
      <w:r>
        <w:t xml:space="preserve">, to test whether participants treats groups of states as separate contexts in which they plan to different extents, which we refer to as the</w:t>
      </w:r>
      <w:r>
        <w:t xml:space="preserve"> </w:t>
      </w:r>
      <w:r>
        <w:rPr>
          <w:b/>
          <w:bCs/>
        </w:rPr>
        <w:t xml:space="preserve">context model</w:t>
      </w:r>
      <w:r>
        <w:t xml:space="preserve">. In this model,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7" w:name="preferences-model"/>
    <w:p>
      <w:pPr>
        <w:pStyle w:val="Heading4"/>
      </w:pPr>
      <w:r>
        <w:t xml:space="preserve">2.3.4 Preferences model</w:t>
      </w:r>
    </w:p>
    <w:p>
      <w:pPr>
        <w:pStyle w:val="FirstParagraph"/>
      </w:pPr>
      <w:r>
        <w:t xml:space="preserve">Finally, to test the hypothesis that participants’ behaviour reflect the integration between forward planning and task-structure dependent preferences, we modelled participants responses using a preference model, modeling responses using a planning component, a state dependent preference component, as well as a modulation parameter capturing how much planning depends on uncertainty in participants preferences. A key distinction with the frequency model is that the participants deviation from optimality reflect state dependent preferences rather than state independent recency effects. Specifically, this model assumes that participants have factorized preferences associated with independent features of the task (offer, costs, energy) which are then linearly combined for each state, resulting in a state dependent composite preference score. Participant’s responses is modelled as a function of planning, the composite preferences score, and the relationship between the entropy of participants preferences (i.e. preferences uncertainty) and planning, to test the prediction that participants rely more on planning when preferences are weak:</w:t>
      </w:r>
    </w:p>
    <w:p>
      <w:pPr>
        <w:pStyle w:val="BodyText"/>
      </w:pPr>
      <w:bookmarkStart w:id="25" w:name="eq-preference_model"/>
      <m:oMathPara>
        <m:oMathParaPr>
          <m:jc m:val="center"/>
        </m:oMathParaPr>
        <m:oMath>
          <m:eqArr>
            <m:e>
              <m:sSub>
                <m:e>
                  <m:r>
                    <m:t>η</m:t>
                  </m:r>
                </m:e>
                <m:sub>
                  <m:r>
                    <m:t>p</m:t>
                  </m:r>
                  <m:r>
                    <m:t>r</m:t>
                  </m:r>
                  <m:r>
                    <m:t>e</m:t>
                  </m:r>
                  <m:r>
                    <m:t>f</m:t>
                  </m:r>
                  <m:r>
                    <m:t>e</m:t>
                  </m:r>
                  <m:r>
                    <m:t>r</m:t>
                  </m:r>
                  <m:r>
                    <m:t>e</m:t>
                  </m:r>
                  <m:r>
                    <m:t>n</m:t>
                  </m:r>
                  <m:r>
                    <m:t>c</m:t>
                  </m:r>
                  <m:r>
                    <m:t>e</m:t>
                  </m:r>
                  <m:r>
                    <m:t>s</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t>s</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t>e</m:t>
                </m:r>
                <m:r>
                  <m:t>r</m:t>
                </m:r>
                <m:r>
                  <m:t>e</m:t>
                </m:r>
                <m:r>
                  <m:t>n</m:t>
                </m:r>
                <m:r>
                  <m:t>c</m:t>
                </m:r>
                <m:r>
                  <m:t>e</m:t>
                </m:r>
                <m:r>
                  <m:t>s</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t>e</m:t>
                </m:r>
                <m:r>
                  <m:t>r</m:t>
                </m:r>
                <m:r>
                  <m:t>e</m:t>
                </m:r>
                <m:r>
                  <m:t>n</m:t>
                </m:r>
                <m:r>
                  <m:t>c</m:t>
                </m:r>
                <m:r>
                  <m:t>e</m:t>
                </m:r>
                <m:r>
                  <m:t>s</m:t>
                </m:r>
                <m:r>
                  <m:rPr>
                    <m:sty m:val="p"/>
                  </m:rPr>
                  <m:t>)</m:t>
                </m:r>
                <m:r>
                  <m:rPr>
                    <m:sty m:val="p"/>
                  </m:rPr>
                  <m:t>=</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t>l</m:t>
                </m:r>
                <m:r>
                  <m:t>o</m:t>
                </m:r>
                <m:r>
                  <m:t>g</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t>l</m:t>
                </m:r>
                <m:r>
                  <m:t>o</m:t>
                </m:r>
                <m:r>
                  <m:t>g</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e>
            </m:mr>
          </m:m>
          <m:r>
            <m:t>  </m:t>
          </m:r>
          <m:r>
            <m:rPr>
              <m:sty m:val="p"/>
            </m:rPr>
            <m:t>(</m:t>
          </m:r>
          <m:r>
            <m:t>7</m:t>
          </m:r>
          <m:r>
            <m:rPr>
              <m:sty m:val="p"/>
            </m:rPr>
            <m:t>)</m:t>
          </m:r>
        </m:oMath>
      </m:oMathPara>
      <w:bookmarkEnd w:id="26"/>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w:t>
      </w:r>
      <w:r>
        <w:t xml:space="preserve"> </w:t>
      </w:r>
      <m:oMath>
        <m:r>
          <m:t>H</m:t>
        </m:r>
        <m:r>
          <m:rPr>
            <m:sty m:val="p"/>
          </m:rPr>
          <m:t>(</m:t>
        </m:r>
        <m:r>
          <m:t>P</m:t>
        </m:r>
        <m:r>
          <m:t>r</m:t>
        </m:r>
        <m:r>
          <m:t>e</m:t>
        </m:r>
        <m:r>
          <m:t>f</m:t>
        </m:r>
        <m:r>
          <m:t>e</m:t>
        </m:r>
        <m:r>
          <m:t>r</m:t>
        </m:r>
        <m:r>
          <m:t>e</m:t>
        </m:r>
        <m:r>
          <m:t>n</m:t>
        </m:r>
        <m:r>
          <m:t>c</m:t>
        </m:r>
        <m:r>
          <m:t>e</m:t>
        </m:r>
        <m:r>
          <m:rPr>
            <m:sty m:val="p"/>
          </m:rPr>
          <m:t>)</m:t>
        </m:r>
      </m:oMath>
      <w:r>
        <w:t xml:space="preserve"> </w:t>
      </w:r>
      <w:r>
        <w:t xml:space="preserve">is the entropy of the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29" w:name="model-fitting-and-comparison"/>
    <w:p>
      <w:pPr>
        <w:pStyle w:val="Heading3"/>
      </w:pPr>
      <w:r>
        <w:t xml:space="preserve">2.4 Model fitting and comparison</w:t>
      </w:r>
    </w:p>
    <w:p>
      <w:pPr>
        <w:pStyle w:val="FirstParagraph"/>
      </w:pPr>
      <w:r>
        <w:t xml:space="preserve">Models were fitted to participants’ responses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reaction time (RT) exceeded the response window (5s) or didn’t provide a response. Across models, the following parameters were left to vary across participants (i.e. random slopes):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3000 sample each (1000 warmups), resulting in 8000 samples in total.</w:t>
      </w:r>
    </w:p>
    <w:p>
      <w:pPr>
        <w:pStyle w:val="BodyText"/>
      </w:pPr>
      <w:r>
        <w:t xml:space="preserve">We used Pareto-smoothed importance sampling to approximate leave one out cross validation</w:t>
      </w:r>
      <w:r>
        <w:t xml:space="preserve"> </w:t>
      </w:r>
      <w:r>
        <w:t xml:space="preserve">(PSIS-LOO, Vehtari et al. 2017)</w:t>
      </w:r>
      <w:r>
        <w:t xml:space="preserve"> </w:t>
      </w:r>
      <w:r>
        <w:t xml:space="preserve">to estimate the expected log pointwise predictive density (elpd) which we used to compare the fit of these different models.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Start w:id="30" w:name="experimental-factors-relevance-analysis"/>
    <w:p>
      <w:pPr>
        <w:pStyle w:val="Heading3"/>
      </w:pPr>
      <w:r>
        <w:t xml:space="preserve">2.5 Experimental factors relevance analysis</w:t>
      </w:r>
    </w:p>
    <w:p>
      <w:pPr>
        <w:pStyle w:val="FirstParagraph"/>
      </w:pPr>
      <w:r>
        <w:t xml:space="preserve">The fitted parameters of the preference model indicate that participants responses depend more strongly on certain aspects of the task than others. The regression coefficients associated with offer and energy factors are larger than those associated with costs (see</w:t>
      </w:r>
      <w:r>
        <w:t xml:space="preserve"> </w:t>
      </w:r>
      <w:hyperlink w:anchor="fig-choicemdl">
        <w:r>
          <w:rPr>
            <w:rStyle w:val="Hyperlink"/>
          </w:rPr>
          <w:t xml:space="preserve">Figure 2</w:t>
        </w:r>
      </w:hyperlink>
      <w:r>
        <w:t xml:space="preserve">). To further quantify the the proportion of the fit associated with each factor of the task (offer, energy, current and future costs), we compared the full preference model to reduced models in which we remove the preferences associated with each factors (i.e. removing all regressors associated with offers, energy, current and future costs), one at a time.</w:t>
      </w:r>
    </w:p>
    <w:p>
      <w:pPr>
        <w:pStyle w:val="BodyText"/>
      </w:pPr>
      <w:r>
        <w:t xml:space="preserve">The stronger preferences associated with specific task factors might reflect general biases toward such features (i.e. biases that participants would exhibit in any tasks), due to their relevance in the environment. Such preferences and the specific weighting given to different features should not be particularly adapted to the task and therefore yield poor returns in the absence of planning. Alternatively, the preferences might be specifically adaptive to our task. The increased strong biases associated with energy and offers compared to costs might reflect the difference in reward-sensitivity between task features, meaning that chosing response ignoring reward-insensitive features will lead to no or low return loss compared to ignoring reward sensitive features. Accordingly, the specific features weighting in participants preferences might constitute a cheap and readily available</w:t>
      </w:r>
      <w:r>
        <w:t xml:space="preserve"> </w:t>
      </w:r>
      <w:r>
        <w:t xml:space="preserve">“good enough”</w:t>
      </w:r>
      <w:r>
        <w:t xml:space="preserve"> </w:t>
      </w:r>
      <w:r>
        <w:t xml:space="preserve">policy, such that if participants had to completely forgo planning, they would be able to give a suboptimal yet not completely wrong response.</w:t>
      </w:r>
    </w:p>
    <w:p>
      <w:pPr>
        <w:pStyle w:val="BodyText"/>
      </w:pPr>
      <w:r>
        <w:t xml:space="preserve">To test whether the weighting of task features in participants’s preferences reflects the dominance of certain features in terms of reward maximization, we first investigated the difference in reward sensitivity associated with each task feature. We created reduced MDPs in which a factor is reduced to one level by averaging the transition probability and reward associated with all levels of each factor, simulating a planner ignoring this aspect of the task. We then computed the optimal policy in the reduced MDP and projected it to the full MDP and calculated the expected return of the reduced policy. If participants preferences constitute adaptive biases, we expect those features that the strongest impact on partcipants behavior to lead to the largest loss in return when ignored in planning.</w:t>
      </w:r>
    </w:p>
    <w:p>
      <w:pPr>
        <w:pStyle w:val="BodyText"/>
      </w:pPr>
      <w:r>
        <w:t xml:space="preserve">To further test whether preferences are adaptive to the task, we derived policies from the preference component from the full preference model and from the reduced models (in which each factor was removed from the preference matrix) and computed the expected return under each preference policy relative to the maximal return (return under greedy policy on Q). If preferences reflect adaptive biases to our task, we would expect (1) preference policy derived from the preference component of the full model to yield larger returns compared to a stochastic policy (i.e. equal probability of each action in each state) and (2) removing the factors that have stronger impact on participants’ behaviour to lead to a largest loss in return compared to factors that have a low impact of participants responses.</w:t>
      </w:r>
    </w:p>
    <w:p>
      <w:pPr>
        <w:pStyle w:val="BodyText"/>
      </w:pPr>
      <w:r>
        <w:t xml:space="preserve">To further explore whether participants preferences are adapted to the task, we aimed to compare them to an relevant statisic of the task: the marginal action probability under each feature of the task. In the policy compression framework, the optimal policy under ressources constraints combines planning with a state-independent action prior corresponding to the action probability marginalized across all states</w:t>
      </w:r>
      <w:r>
        <w:t xml:space="preserve"> </w:t>
      </w:r>
      <w:r>
        <w:t xml:space="preserve">(Lai and Gershman 2021)</w:t>
      </w:r>
      <w:r>
        <w:t xml:space="preserve">. In our task, instead of relying on state-independent action priors, participants’ preferences might correspond to the action probability associated with each level of each factor of the task marginalized across all other factors (probability of accepting an offer of 1 across current, future costs and energy levels for example). We computed the marginal action probability for each level of the task under the optimal policy (greedy policy on Q) to compare against the fitted preferences parameters. While this analysis is not sufficient to establish that preferences are derived by marginalizing action probability over each independent factors of the task, similarity between the two would suggest that this is a plausible interpretation.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2" w:name="reaction-times-analysis"/>
    <w:p>
      <w:pPr>
        <w:pStyle w:val="Heading3"/>
      </w:pPr>
      <w:r>
        <w:t xml:space="preserve">2.6 Reaction times analysis</w:t>
      </w:r>
    </w:p>
    <w:p>
      <w:pPr>
        <w:pStyle w:val="FirstParagraph"/>
      </w:pPr>
      <w:r>
        <w:t xml:space="preserve">In our task, exact computation of optimal policy is prohibitively expensive, given the size of our state space, the number of steps to be planned ahead and the highly probabilistic nature of the task. Preferences are presumably readily available to the participants, or require minimal computation. We hypothesized that instead of systematically considering all future outcomes before making a choice, participants consider the strength of their preferences to determine how much they should engage in forward planning. If this is the case, we would expect participants RT to reflect the strength of participants preference, as stronger preferences should be associated with less planning, hence faster RT.</w:t>
      </w:r>
    </w:p>
    <w:p>
      <w:pPr>
        <w:pStyle w:val="BodyText"/>
      </w:pPr>
      <w:r>
        <w:t xml:space="preserve">Previous findings showed that participants RT is faster the larger the value difference between the two actions</w:t>
      </w:r>
      <w:r>
        <w:t xml:space="preserve"> </w:t>
      </w:r>
      <w:r>
        <w:t xml:space="preserve">(Ott et al. 2022a)</w:t>
      </w:r>
      <w:r>
        <w:t xml:space="preserve">, indicating that there is less planning when the value of accepting and rejecting are more clearly distinct. Under our main hypothesis, the effect of decision conflict, defined as the difference in value between the two actions, should be modulated by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the prediction that the effect of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preferences entropy (fitted in the preference response choice model) and the interaction between planning and preferences entropy:</w:t>
      </w:r>
    </w:p>
    <w:p>
      <w:pPr>
        <w:pStyle w:val="BodyText"/>
      </w:pPr>
      <w:bookmarkStart w:id="31"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8</m:t>
          </m:r>
          <m:r>
            <m:rPr>
              <m:sty m:val="p"/>
            </m:rPr>
            <m:t>)</m:t>
          </m:r>
        </m:oMath>
      </m:oMathPara>
      <w:bookmarkEnd w:id="31"/>
    </w:p>
    <w:p>
      <w:pPr>
        <w:pStyle w:val="FirstParagraph"/>
      </w:pPr>
      <w:r>
        <w:t xml:space="preserve">We predicted a positive interaction between preferences entropy and planning, which would indicate that the larger the preference entropy (i.e. the weaker the preference), the larger the RT because the larger the reliance on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2"/>
    <w:bookmarkEnd w:id="33"/>
    <w:bookmarkStart w:id="58" w:name="results"/>
    <w:p>
      <w:pPr>
        <w:pStyle w:val="Heading2"/>
      </w:pPr>
      <w:r>
        <w:t xml:space="preserve">3 Results</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reported in</w:t>
      </w:r>
      <w:r>
        <w:t xml:space="preserve"> </w:t>
      </w:r>
      <w:r>
        <w:t xml:space="preserve">(Ott et al. 2022a)</w:t>
      </w:r>
      <w:r>
        <w:t xml:space="preserve">, participants’ responses systematically deviate from optimality: the pure planning model has the lowest fit compared to the other three models, see</w:t>
      </w:r>
      <w:r>
        <w:t xml:space="preserve"> </w:t>
      </w:r>
      <w:hyperlink w:anchor="fig-choicemdl">
        <w:r>
          <w:rPr>
            <w:rStyle w:val="Hyperlink"/>
          </w:rPr>
          <w:t xml:space="preserve">Figure 2</w:t>
        </w:r>
      </w:hyperlink>
      <w:r>
        <w:t xml:space="preserve"> </w:t>
      </w:r>
      <w:r>
        <w:t xml:space="preserve">A. Furthermore, our results indicate that participants biases do not reflect recency prior (frequency model), nor a splitting of the task into separate contexts (context model). Rather, participants exhibit preferences derived from the structure of the task, as the Preference model was observed to fit the data the best (see</w:t>
      </w:r>
      <w:r>
        <w:t xml:space="preserve"> </w:t>
      </w:r>
      <w:hyperlink w:anchor="fig-choicemdl">
        <w:r>
          <w:rPr>
            <w:rStyle w:val="Hyperlink"/>
          </w:rPr>
          <w:t xml:space="preserve">Figure 2</w:t>
        </w:r>
      </w:hyperlink>
      <w:r>
        <w:t xml:space="preserve"> </w:t>
      </w:r>
      <w:r>
        <w:t xml:space="preserve">A).</w:t>
      </w:r>
    </w:p>
    <w:p>
      <w:pPr>
        <w:pStyle w:val="BodyText"/>
      </w:pPr>
      <w:hyperlink w:anchor="fig-choicemdl">
        <w:r>
          <w:rPr>
            <w:rStyle w:val="Hyperlink"/>
          </w:rPr>
          <w:t xml:space="preserve">Figure 2</w:t>
        </w:r>
      </w:hyperlink>
      <w:r>
        <w:t xml:space="preserve"> </w:t>
      </w:r>
      <w:r>
        <w:t xml:space="preserve">B shows the proportion of match between observed and predicted responses separately for each model and offer values, highlighting the increased fit of the preference model. This increase in fit compared to the context model</w:t>
      </w:r>
      <w:r>
        <w:t xml:space="preserve"> </w:t>
      </w:r>
      <w:r>
        <w:t xml:space="preserve">(which was previously report to fit data best compared to many alternatives Ott et al. 2022a)</w:t>
      </w:r>
      <w:r>
        <w:t xml:space="preserve"> </w:t>
      </w:r>
      <w:r>
        <w:t xml:space="preserve">suggests that participants have distinct preferences for each state feature, which are combined according to the current state’s features to form state-specific preferences. This result is highly consistent across participants: the preference model fits the data best for 35 out of 40 participants (see</w:t>
      </w:r>
      <w:r>
        <w:t xml:space="preserve"> </w:t>
      </w:r>
      <w:hyperlink w:anchor="fig-returns">
        <w:r>
          <w:rPr>
            <w:rStyle w:val="Hyperlink"/>
          </w:rPr>
          <w:t xml:space="preserve">Figure 4</w:t>
        </w:r>
      </w:hyperlink>
      <w:r>
        <w:t xml:space="preserve"> </w:t>
      </w:r>
      <w:r>
        <w:t xml:space="preserve">A).</w:t>
      </w:r>
    </w:p>
    <w:p>
      <w:pPr>
        <w:pStyle w:val="BodyText"/>
      </w:pPr>
      <w:r>
        <w:t xml:space="preserve">The estimated preference weights associated with each factor of the task (</w:t>
      </w:r>
      <w:hyperlink w:anchor="fig-choicemdl">
        <w:r>
          <w:rPr>
            <w:rStyle w:val="Hyperlink"/>
          </w:rPr>
          <w:t xml:space="preserve">Figure 2</w:t>
        </w:r>
      </w:hyperlink>
      <w:r>
        <w:t xml:space="preserve"> </w:t>
      </w:r>
      <w:r>
        <w:t xml:space="preserve">C) reveal that participants tend to be biased towards rejecting (i.e. reject offers more often than forward planning would suggest) for low (one and two), while they are biased towards accepting when offers are high (three and four). These deviations are more pronounced for extreme (one and four) compared to intermediate ones (two and three). Furthermore, the energy state has a strong impact on participants’ behaviour, especially in extreme cases (no or maxed out energy). Finally, costs (both current and future) has a lower impact on participants’ behaviour, with a slight bias to accept offers when costs (both current and future)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7" w:name="fig-choicemdl"/>
          <w:p>
            <w:pPr>
              <w:pStyle w:val="Compact"/>
              <w:jc w:val="center"/>
            </w:pPr>
            <w:r>
              <w:drawing>
                <wp:inline>
                  <wp:extent cx="5334000" cy="5765170"/>
                  <wp:effectExtent b="0" l="0" r="0" t="0"/>
                  <wp:docPr descr="" title="" id="35" name="Picture"/>
                  <a:graphic>
                    <a:graphicData uri="http://schemas.openxmlformats.org/drawingml/2006/picture">
                      <pic:pic>
                        <pic:nvPicPr>
                          <pic:cNvPr descr="index_files/figure-docx/fig-choicemdl-output-1.png" id="36" name="Picture"/>
                          <pic:cNvPicPr>
                            <a:picLocks noChangeArrowheads="1" noChangeAspect="1"/>
                          </pic:cNvPicPr>
                        </pic:nvPicPr>
                        <pic:blipFill>
                          <a:blip r:embed="rId34"/>
                          <a:stretch>
                            <a:fillRect/>
                          </a:stretch>
                        </pic:blipFill>
                        <pic:spPr bwMode="auto">
                          <a:xfrm>
                            <a:off x="0" y="0"/>
                            <a:ext cx="5334000" cy="57651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tbl-pref_model_param"/>
          <w:p>
            <w:pPr>
              <w:jc w:val="center"/>
            </w:pPr>
            <w:pPr>
              <w:jc w:val="left"/>
              <w:spacing w:before="200"/>
              <w:pStyle w:val="ImageCaption"/>
            </w:pPr>
            <w:r>
              <w:t xml:space="preserve">Table 1: 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2.095</w:t>
                  </w:r>
                </w:p>
              </w:tc>
              <w:tc>
                <w:tcPr/>
                <w:p>
                  <w:pPr>
                    <w:pStyle w:val="Compact"/>
                    <w:jc w:val="right"/>
                    <w:jc w:val="center"/>
                  </w:pPr>
                  <w:r>
                    <w:t xml:space="preserve">0.243</w:t>
                  </w:r>
                </w:p>
              </w:tc>
              <w:tc>
                <w:tcPr/>
                <w:p>
                  <w:pPr>
                    <w:pStyle w:val="Compact"/>
                    <w:jc w:val="right"/>
                    <w:jc w:val="center"/>
                  </w:pPr>
                  <w:r>
                    <w:t xml:space="preserve">1.629</w:t>
                  </w:r>
                </w:p>
              </w:tc>
              <w:tc>
                <w:tcPr/>
                <w:p>
                  <w:pPr>
                    <w:pStyle w:val="Compact"/>
                    <w:jc w:val="right"/>
                    <w:jc w:val="center"/>
                  </w:pPr>
                  <w:r>
                    <w:t xml:space="preserve">2.582</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-2.395</w:t>
                  </w:r>
                </w:p>
              </w:tc>
              <w:tc>
                <w:tcPr/>
                <w:p>
                  <w:pPr>
                    <w:pStyle w:val="Compact"/>
                    <w:jc w:val="right"/>
                    <w:jc w:val="center"/>
                  </w:pPr>
                  <w:r>
                    <w:t xml:space="preserve">0.958</w:t>
                  </w:r>
                </w:p>
              </w:tc>
              <w:tc>
                <w:tcPr/>
                <w:p>
                  <w:pPr>
                    <w:pStyle w:val="Compact"/>
                    <w:jc w:val="right"/>
                    <w:jc w:val="center"/>
                  </w:pPr>
                  <w:r>
                    <w:t xml:space="preserve">-4.361</w:t>
                  </w:r>
                </w:p>
              </w:tc>
              <w:tc>
                <w:tcPr/>
                <w:p>
                  <w:pPr>
                    <w:pStyle w:val="Compact"/>
                    <w:jc w:val="right"/>
                    <w:jc w:val="center"/>
                  </w:pPr>
                  <w:r>
                    <w:t xml:space="preserve">-0.605</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-1.613</w:t>
                  </w:r>
                </w:p>
              </w:tc>
              <w:tc>
                <w:tcPr/>
                <w:p>
                  <w:pPr>
                    <w:pStyle w:val="Compact"/>
                    <w:jc w:val="right"/>
                    <w:jc w:val="center"/>
                  </w:pPr>
                  <w:r>
                    <w:t xml:space="preserve">0.935</w:t>
                  </w:r>
                </w:p>
              </w:tc>
              <w:tc>
                <w:tcPr/>
                <w:p>
                  <w:pPr>
                    <w:pStyle w:val="Compact"/>
                    <w:jc w:val="right"/>
                    <w:jc w:val="center"/>
                  </w:pPr>
                  <w:r>
                    <w:t xml:space="preserve">-3.405</w:t>
                  </w:r>
                </w:p>
              </w:tc>
              <w:tc>
                <w:tcPr/>
                <w:p>
                  <w:pPr>
                    <w:pStyle w:val="Compact"/>
                    <w:jc w:val="right"/>
                    <w:jc w:val="center"/>
                  </w:pPr>
                  <w:r>
                    <w:t xml:space="preserve">0.178</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1.662</w:t>
                  </w:r>
                </w:p>
              </w:tc>
              <w:tc>
                <w:tcPr/>
                <w:p>
                  <w:pPr>
                    <w:pStyle w:val="Compact"/>
                    <w:jc w:val="right"/>
                    <w:jc w:val="center"/>
                  </w:pPr>
                  <w:r>
                    <w:t xml:space="preserve">0.921</w:t>
                  </w:r>
                </w:p>
              </w:tc>
              <w:tc>
                <w:tcPr/>
                <w:p>
                  <w:pPr>
                    <w:pStyle w:val="Compact"/>
                    <w:jc w:val="right"/>
                    <w:jc w:val="center"/>
                  </w:pPr>
                  <w:r>
                    <w:t xml:space="preserve">-0.152</w:t>
                  </w:r>
                </w:p>
              </w:tc>
              <w:tc>
                <w:tcPr/>
                <w:p>
                  <w:pPr>
                    <w:pStyle w:val="Compact"/>
                    <w:jc w:val="right"/>
                    <w:jc w:val="center"/>
                  </w:pPr>
                  <w:r>
                    <w:t xml:space="preserve">3.405</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2.968</w:t>
                  </w:r>
                </w:p>
              </w:tc>
              <w:tc>
                <w:tcPr/>
                <w:p>
                  <w:pPr>
                    <w:pStyle w:val="Compact"/>
                    <w:jc w:val="right"/>
                    <w:jc w:val="center"/>
                  </w:pPr>
                  <w:r>
                    <w:t xml:space="preserve">0.96</w:t>
                  </w:r>
                </w:p>
              </w:tc>
              <w:tc>
                <w:tcPr/>
                <w:p>
                  <w:pPr>
                    <w:pStyle w:val="Compact"/>
                    <w:jc w:val="right"/>
                    <w:jc w:val="center"/>
                  </w:pPr>
                  <w:r>
                    <w:t xml:space="preserve">1.235</w:t>
                  </w:r>
                </w:p>
              </w:tc>
              <w:tc>
                <w:tcPr/>
                <w:p>
                  <w:pPr>
                    <w:pStyle w:val="Compact"/>
                    <w:jc w:val="right"/>
                    <w:jc w:val="center"/>
                  </w:pPr>
                  <w:r>
                    <w:t xml:space="preserve">4.975</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0.733</w:t>
                  </w:r>
                </w:p>
              </w:tc>
              <w:tc>
                <w:tcPr/>
                <w:p>
                  <w:pPr>
                    <w:pStyle w:val="Compact"/>
                    <w:jc w:val="right"/>
                    <w:jc w:val="center"/>
                  </w:pPr>
                  <w:r>
                    <w:t xml:space="preserve">1.146</w:t>
                  </w:r>
                </w:p>
              </w:tc>
              <w:tc>
                <w:tcPr/>
                <w:p>
                  <w:pPr>
                    <w:pStyle w:val="Compact"/>
                    <w:jc w:val="right"/>
                    <w:jc w:val="center"/>
                  </w:pPr>
                  <w:r>
                    <w:t xml:space="preserve">-1.549</w:t>
                  </w:r>
                </w:p>
              </w:tc>
              <w:tc>
                <w:tcPr/>
                <w:p>
                  <w:pPr>
                    <w:pStyle w:val="Compact"/>
                    <w:jc w:val="right"/>
                    <w:jc w:val="center"/>
                  </w:pPr>
                  <w:r>
                    <w:t xml:space="preserve">2.81</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-0.181</w:t>
                  </w:r>
                </w:p>
              </w:tc>
              <w:tc>
                <w:tcPr/>
                <w:p>
                  <w:pPr>
                    <w:pStyle w:val="Compact"/>
                    <w:jc w:val="right"/>
                    <w:jc w:val="center"/>
                  </w:pPr>
                  <w:r>
                    <w:t xml:space="preserve">1.146</w:t>
                  </w:r>
                </w:p>
              </w:tc>
              <w:tc>
                <w:tcPr/>
                <w:p>
                  <w:pPr>
                    <w:pStyle w:val="Compact"/>
                    <w:jc w:val="right"/>
                    <w:jc w:val="center"/>
                  </w:pPr>
                  <w:r>
                    <w:t xml:space="preserve">-2.402</w:t>
                  </w:r>
                </w:p>
              </w:tc>
              <w:tc>
                <w:tcPr/>
                <w:p>
                  <w:pPr>
                    <w:pStyle w:val="Compact"/>
                    <w:jc w:val="right"/>
                    <w:jc w:val="center"/>
                  </w:pPr>
                  <w:r>
                    <w:t xml:space="preserve">2.022</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0.443</w:t>
                  </w:r>
                </w:p>
              </w:tc>
              <w:tc>
                <w:tcPr/>
                <w:p>
                  <w:pPr>
                    <w:pStyle w:val="Compact"/>
                    <w:jc w:val="right"/>
                    <w:jc w:val="center"/>
                  </w:pPr>
                  <w:r>
                    <w:t xml:space="preserve">1.165</w:t>
                  </w:r>
                </w:p>
              </w:tc>
              <w:tc>
                <w:tcPr/>
                <w:p>
                  <w:pPr>
                    <w:pStyle w:val="Compact"/>
                    <w:jc w:val="right"/>
                    <w:jc w:val="center"/>
                  </w:pPr>
                  <w:r>
                    <w:t xml:space="preserve">-1.882</w:t>
                  </w:r>
                </w:p>
              </w:tc>
              <w:tc>
                <w:tcPr/>
                <w:p>
                  <w:pPr>
                    <w:pStyle w:val="Compact"/>
                    <w:jc w:val="right"/>
                    <w:jc w:val="center"/>
                  </w:pPr>
                  <w:r>
                    <w:t xml:space="preserve">2.77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w:t>
                  </w:r>
                </w:p>
              </w:tc>
              <w:tc>
                <w:tcPr/>
                <w:p>
                  <w:pPr>
                    <w:pStyle w:val="Compact"/>
                    <w:jc w:val="right"/>
                    <w:jc w:val="center"/>
                  </w:pPr>
                  <w:r>
                    <w:t xml:space="preserve">1.166</w:t>
                  </w:r>
                </w:p>
              </w:tc>
              <w:tc>
                <w:tcPr/>
                <w:p>
                  <w:pPr>
                    <w:pStyle w:val="Compact"/>
                    <w:jc w:val="right"/>
                    <w:jc w:val="center"/>
                  </w:pPr>
                  <w:r>
                    <w:t xml:space="preserve">-2.045</w:t>
                  </w:r>
                </w:p>
              </w:tc>
              <w:tc>
                <w:tcPr/>
                <w:p>
                  <w:pPr>
                    <w:pStyle w:val="Compact"/>
                    <w:jc w:val="right"/>
                    <w:jc w:val="center"/>
                  </w:pPr>
                  <w:r>
                    <w:t xml:space="preserve">2.609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-4.472</w:t>
                  </w:r>
                </w:p>
              </w:tc>
              <w:tc>
                <w:tcPr/>
                <w:p>
                  <w:pPr>
                    <w:pStyle w:val="Compact"/>
                    <w:jc w:val="right"/>
                    <w:jc w:val="center"/>
                  </w:pPr>
                  <w:r>
                    <w:t xml:space="preserve">0.952</w:t>
                  </w:r>
                </w:p>
              </w:tc>
              <w:tc>
                <w:tcPr/>
                <w:p>
                  <w:pPr>
                    <w:pStyle w:val="Compact"/>
                    <w:jc w:val="right"/>
                    <w:jc w:val="center"/>
                  </w:pPr>
                  <w:r>
                    <w:t xml:space="preserve">-6.255</w:t>
                  </w:r>
                </w:p>
              </w:tc>
              <w:tc>
                <w:tcPr/>
                <w:p>
                  <w:pPr>
                    <w:pStyle w:val="Compact"/>
                    <w:jc w:val="right"/>
                    <w:jc w:val="center"/>
                  </w:pPr>
                  <w:r>
                    <w:t xml:space="preserve">-2.558</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-0.467</w:t>
                  </w:r>
                </w:p>
              </w:tc>
              <w:tc>
                <w:tcPr/>
                <w:p>
                  <w:pPr>
                    <w:pStyle w:val="Compact"/>
                    <w:jc w:val="right"/>
                    <w:jc w:val="center"/>
                  </w:pPr>
                  <w:r>
                    <w:t xml:space="preserve">0.777</w:t>
                  </w:r>
                </w:p>
              </w:tc>
              <w:tc>
                <w:tcPr/>
                <w:p>
                  <w:pPr>
                    <w:pStyle w:val="Compact"/>
                    <w:jc w:val="right"/>
                    <w:jc w:val="center"/>
                  </w:pPr>
                  <w:r>
                    <w:t xml:space="preserve">-1.95</w:t>
                  </w:r>
                </w:p>
              </w:tc>
              <w:tc>
                <w:tcPr/>
                <w:p>
                  <w:pPr>
                    <w:pStyle w:val="Compact"/>
                    <w:jc w:val="right"/>
                    <w:jc w:val="center"/>
                  </w:pPr>
                  <w:r>
                    <w:t xml:space="preserve">1.036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0.002</w:t>
                  </w:r>
                </w:p>
              </w:tc>
              <w:tc>
                <w:tcPr/>
                <w:p>
                  <w:pPr>
                    <w:pStyle w:val="Compact"/>
                    <w:jc w:val="right"/>
                    <w:jc w:val="center"/>
                  </w:pPr>
                  <w:r>
                    <w:t xml:space="preserve">0.739</w:t>
                  </w:r>
                </w:p>
              </w:tc>
              <w:tc>
                <w:tcPr/>
                <w:p>
                  <w:pPr>
                    <w:pStyle w:val="Compact"/>
                    <w:jc w:val="right"/>
                    <w:jc w:val="center"/>
                  </w:pPr>
                  <w:r>
                    <w:t xml:space="preserve">-1.452</w:t>
                  </w:r>
                </w:p>
              </w:tc>
              <w:tc>
                <w:tcPr/>
                <w:p>
                  <w:pPr>
                    <w:pStyle w:val="Compact"/>
                    <w:jc w:val="right"/>
                    <w:jc w:val="center"/>
                  </w:pPr>
                  <w:r>
                    <w:t xml:space="preserve">1.419</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0.228</w:t>
                  </w:r>
                </w:p>
              </w:tc>
              <w:tc>
                <w:tcPr/>
                <w:p>
                  <w:pPr>
                    <w:pStyle w:val="Compact"/>
                    <w:jc w:val="right"/>
                    <w:jc w:val="center"/>
                  </w:pPr>
                  <w:r>
                    <w:t xml:space="preserve">0.742</w:t>
                  </w:r>
                </w:p>
              </w:tc>
              <w:tc>
                <w:tcPr/>
                <w:p>
                  <w:pPr>
                    <w:pStyle w:val="Compact"/>
                    <w:jc w:val="right"/>
                    <w:jc w:val="center"/>
                  </w:pPr>
                  <w:r>
                    <w:t xml:space="preserve">-1.193</w:t>
                  </w:r>
                </w:p>
              </w:tc>
              <w:tc>
                <w:tcPr/>
                <w:p>
                  <w:pPr>
                    <w:pStyle w:val="Compact"/>
                    <w:jc w:val="right"/>
                    <w:jc w:val="center"/>
                  </w:pPr>
                  <w:r>
                    <w:t xml:space="preserve">1.697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0.331</w:t>
                  </w:r>
                </w:p>
              </w:tc>
              <w:tc>
                <w:tcPr/>
                <w:p>
                  <w:pPr>
                    <w:pStyle w:val="Compact"/>
                    <w:jc w:val="right"/>
                    <w:jc w:val="center"/>
                  </w:pPr>
                  <w:r>
                    <w:t xml:space="preserve">0.749</w:t>
                  </w:r>
                </w:p>
              </w:tc>
              <w:tc>
                <w:tcPr/>
                <w:p>
                  <w:pPr>
                    <w:pStyle w:val="Compact"/>
                    <w:jc w:val="right"/>
                    <w:jc w:val="center"/>
                  </w:pPr>
                  <w:r>
                    <w:t xml:space="preserve">-1.084</w:t>
                  </w:r>
                </w:p>
              </w:tc>
              <w:tc>
                <w:tcPr/>
                <w:p>
                  <w:pPr>
                    <w:pStyle w:val="Compact"/>
                    <w:jc w:val="right"/>
                    <w:jc w:val="center"/>
                  </w:pPr>
                  <w:r>
                    <w:t xml:space="preserve">1.833</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0.823</w:t>
                  </w:r>
                </w:p>
              </w:tc>
              <w:tc>
                <w:tcPr/>
                <w:p>
                  <w:pPr>
                    <w:pStyle w:val="Compact"/>
                    <w:jc w:val="right"/>
                    <w:jc w:val="center"/>
                  </w:pPr>
                  <w:r>
                    <w:t xml:space="preserve">0.762</w:t>
                  </w:r>
                </w:p>
              </w:tc>
              <w:tc>
                <w:tcPr/>
                <w:p>
                  <w:pPr>
                    <w:pStyle w:val="Compact"/>
                    <w:jc w:val="right"/>
                    <w:jc w:val="center"/>
                  </w:pPr>
                  <w:r>
                    <w:t xml:space="preserve">-0.652</w:t>
                  </w:r>
                </w:p>
              </w:tc>
              <w:tc>
                <w:tcPr/>
                <w:p>
                  <w:pPr>
                    <w:pStyle w:val="Compact"/>
                    <w:jc w:val="right"/>
                    <w:jc w:val="center"/>
                  </w:pPr>
                  <w:r>
                    <w:t xml:space="preserve">2.321</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4.234</w:t>
                  </w:r>
                </w:p>
              </w:tc>
              <w:tc>
                <w:tcPr/>
                <w:p>
                  <w:pPr>
                    <w:pStyle w:val="Compact"/>
                    <w:jc w:val="right"/>
                    <w:jc w:val="center"/>
                  </w:pPr>
                  <w:r>
                    <w:t xml:space="preserve">0.968</w:t>
                  </w:r>
                </w:p>
              </w:tc>
              <w:tc>
                <w:tcPr/>
                <w:p>
                  <w:pPr>
                    <w:pStyle w:val="Compact"/>
                    <w:jc w:val="right"/>
                    <w:jc w:val="center"/>
                  </w:pPr>
                  <w:r>
                    <w:t xml:space="preserve">2.209</w:t>
                  </w:r>
                </w:p>
              </w:tc>
              <w:tc>
                <w:tcPr/>
                <w:p>
                  <w:pPr>
                    <w:pStyle w:val="Compact"/>
                    <w:jc w:val="right"/>
                    <w:jc w:val="center"/>
                  </w:pPr>
                  <w:r>
                    <w:t xml:space="preserve">6.021</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1.706</w:t>
                  </w:r>
                </w:p>
              </w:tc>
              <w:tc>
                <w:tcPr/>
                <w:p>
                  <w:pPr>
                    <w:pStyle w:val="Compact"/>
                    <w:jc w:val="right"/>
                    <w:jc w:val="center"/>
                  </w:pPr>
                  <w:r>
                    <w:t xml:space="preserve">0.717</w:t>
                  </w:r>
                </w:p>
              </w:tc>
              <w:tc>
                <w:tcPr/>
                <w:p>
                  <w:pPr>
                    <w:pStyle w:val="Compact"/>
                    <w:jc w:val="right"/>
                    <w:jc w:val="center"/>
                  </w:pPr>
                  <w:r>
                    <w:t xml:space="preserve">0.271</w:t>
                  </w:r>
                </w:p>
              </w:tc>
              <w:tc>
                <w:tcPr/>
                <w:p>
                  <w:pPr>
                    <w:pStyle w:val="Compact"/>
                    <w:jc w:val="right"/>
                    <w:jc w:val="center"/>
                  </w:pPr>
                  <w:r>
                    <w:t xml:space="preserve">3.102</w:t>
                  </w:r>
                </w:p>
              </w:tc>
            </w:tr>
          </w:tbl>
          <w:bookmarkEnd w:id="3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influence of planning depends on how informative participants’ preferences are. If preferences and planning jointly guide choice, then choices should be dominated by whichever source provides the clearer signal on a given trial. Consistent with this idea, our model revealed a positive modulatory effect of preferences entropy on planning (</w:t>
      </w:r>
      <m:oMath>
        <m:sSub>
          <m:e>
            <m:r>
              <m:t>β</m:t>
            </m:r>
          </m:e>
          <m:sub>
            <m:r>
              <m:t>m</m:t>
            </m:r>
            <m:r>
              <m:t>o</m:t>
            </m:r>
            <m:r>
              <m:t>d</m:t>
            </m:r>
            <m:r>
              <m:t>u</m:t>
            </m:r>
            <m:r>
              <m:t>l</m:t>
            </m:r>
            <m:r>
              <m:t>a</m:t>
            </m:r>
            <m:r>
              <m:t>t</m:t>
            </m:r>
            <m:r>
              <m:t>i</m:t>
            </m:r>
            <m:r>
              <m:t>o</m:t>
            </m:r>
            <m:r>
              <m:t>n</m:t>
            </m:r>
          </m:sub>
        </m:sSub>
      </m:oMath>
      <w:r>
        <w:t xml:space="preserve">=1.71, CI=[0.28, 2.99], see</w:t>
      </w:r>
      <w:r>
        <w:t xml:space="preserve"> </w:t>
      </w:r>
      <w:hyperlink w:anchor="fig-pref-planning-interaction">
        <w:r>
          <w:rPr>
            <w:rStyle w:val="Hyperlink"/>
          </w:rPr>
          <w:t xml:space="preserve">Figure 3</w:t>
        </w:r>
      </w:hyperlink>
      <w:r>
        <w:t xml:space="preserve"> </w:t>
      </w:r>
      <w:r>
        <w:t xml:space="preserve">A). This positive effect implies that the more informative source of information exerts the stronger influence on participants’ choices. When preferences are strong and DV are close to 0, participants follow their preferences. Conversly, when preferences are weak and DV strongly favour one action, choices follow planning derived values.</w:t>
      </w:r>
    </w:p>
    <w:p>
      <w:pPr>
        <w:pStyle w:val="BodyText"/>
      </w:pPr>
      <w:r>
        <w:t xml:space="preserve">This effect can be seen when the sign of preferences and DV are opposed (one suggests accepting and the other rejecting or vice versa), as participants choice should either reflect preference or planning depending on their relative strength.</w:t>
      </w:r>
      <w:r>
        <w:t xml:space="preserve"> </w:t>
      </w:r>
      <w:hyperlink w:anchor="fig-pref-planning-interaction">
        <w:r>
          <w:rPr>
            <w:rStyle w:val="Hyperlink"/>
          </w:rPr>
          <w:t xml:space="preserve">Figure 3</w:t>
        </w:r>
      </w:hyperlink>
      <w:r>
        <w:t xml:space="preserve"> </w:t>
      </w:r>
      <w:r>
        <w:t xml:space="preserve">A shows participants responses as a function of preferences and DV, with emphasizes on the off diagonal quadrants (top left and bottom right where the sign of DV and preferences are opposed) by color coding accept and rejected trials (green triangles for accepting, yellow hexagons for rejecting). The background colors indicate the fitted probability of accepting an offer as a function of preferences and DV. In the top left quadrant, participants follow their preferences (i.e. accept) when DV are low relative to preferences, hence the green markers cluster close to DV equal to 0, while participants reject (i.e. follow DV) when DV are strong relative to preferences, hence the yellow marker cluster towards more negative DV. The contour line in the background reflect this modulatory effect, as the probability of rejecting an offer for a given DV decreases as preferneces score increases in the top left corner. Similarly, in the bottom right corner, the probability of accepting (i.e. following DV) an offer for a given DV decreases as preferences grows more negative. The effect of preferences on participants’ responses can further be seen in</w:t>
      </w:r>
      <w:r>
        <w:t xml:space="preserve"> </w:t>
      </w:r>
      <w:hyperlink w:anchor="fig-pref-planning-interaction">
        <w:r>
          <w:rPr>
            <w:rStyle w:val="Hyperlink"/>
          </w:rPr>
          <w:t xml:space="preserve">Figure 3</w:t>
        </w:r>
      </w:hyperlink>
      <w:r>
        <w:t xml:space="preserve"> </w:t>
      </w:r>
      <w:r>
        <w:t xml:space="preserve">B, where responses were binned as a function of DV, separately for states where preferences are positive (top row) and negative (bottom row). We can see that for a given DV, the probability of accepting is systematically increased when preferences are positive compared to when preferences are negative.</w:t>
      </w:r>
    </w:p>
    <w:p>
      <w:pPr>
        <w:pStyle w:val="BodyText"/>
      </w:pPr>
      <w:r>
        <w:t xml:space="preserve">Notably, both figures highlight that there are fewer trials in which DV are positive while preferences are negative (bottom right quadrant in</w:t>
      </w:r>
      <w:r>
        <w:t xml:space="preserve"> </w:t>
      </w:r>
      <w:hyperlink w:anchor="fig-pref-planning-interaction">
        <w:r>
          <w:rPr>
            <w:rStyle w:val="Hyperlink"/>
          </w:rPr>
          <w:t xml:space="preserve">Figure 3</w:t>
        </w:r>
      </w:hyperlink>
      <w:r>
        <w:t xml:space="preserve"> </w:t>
      </w:r>
      <w:r>
        <w:t xml:space="preserve">A). Furthermore, there are no trials in which preferences are strongly negative when DV are clearly positive (bottom right quadrant), while there are cases in which preferences are strongly positive while DV are strongly negative (top left). This indicates that bias towards rejecting an offer tends to be aligned with the DV, while participants sometimes show bias towards accepting when planning would suggest otherwise. This asymetry reflects the structure of our task. Strongly positive preference with strongly negative DV occur in trials where offer is high and energy is low, such that planning suggests to forgo a large offer to ensure future offers can be accepted, while participants preference for large offers outweights the weights associated with remaining factors. In the mirror case, where offer is low and energy is high, planning suggests rejecting the offer because sparing energy is preferrable, and so do preferences, as the negative weight associated with low offer is rarely outweighted by the positive bias associated with high energy states.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145227"/>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1452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DV. (A) Shows participants responses as a function of decision values and preference scores. On the off diagonal quadrant (top left and bottom right), the dot color indicate whether participants accepted the reward (green triangles) or rejected the reward (yellow octogons). The numbers in the legend refer to the number of trials. Background color indicate predicted probability of accepting the offer under the preference model, contour line correspond to the labelled probability. (B) Shows the probabiltiy of accepting an offer (y axis) binned per decision values (x axis), separately for trials in which preference score is positive (top bars pointing down) or negative (bottom bars pointing up). In the same way as (A), the top left and bottom right quadrant show trials in which preferences and DV are opposed, while bottom left and top right quandrant show trials where preferences and DV are aligned. Bars colors reflects the probability of accepting to vizualize the influence of preferences sign under matched DV.</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further establish the behavioural relevance of the planning parameter, the preference score and the modulatory effect of preferences entropy, we tested whether they are predictive of participants overall performances.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sometimes not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(r=0.59, p=0.000,</w:t>
      </w:r>
      <w:r>
        <w:t xml:space="preserve"> </w:t>
      </w:r>
      <w:hyperlink w:anchor="fig-returns">
        <w:r>
          <w:rPr>
            <w:rStyle w:val="Hyperlink"/>
          </w:rPr>
          <w:t xml:space="preserve">Figure 4</w:t>
        </w:r>
      </w:hyperlink>
      <w:r>
        <w:t xml:space="preserve"> </w:t>
      </w:r>
      <w:r>
        <w:t xml:space="preserve">B),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C). However, contrary to our prediction, we observed a negative correlation though only marginally significant correlation between preferences entropy and return (r=-0.30, p=0.064,</w:t>
      </w:r>
      <w:r>
        <w:t xml:space="preserve"> </w:t>
      </w:r>
      <w:hyperlink w:anchor="fig-returns">
        <w:r>
          <w:rPr>
            <w:rStyle w:val="Hyperlink"/>
          </w:rPr>
          <w:t xml:space="preserve">Figure 4</w:t>
        </w:r>
      </w:hyperlink>
      <w:r>
        <w:t xml:space="preserve"> </w:t>
      </w:r>
      <w:r>
        <w:t xml:space="preserve">D).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(r=-0.09, p=0.570), while it remains strongly significant for planning (r=0.48, p=0.002)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3808018"/>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38080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Single participants fit and performances (A) Model fit for each participant. (B)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(C) Correlation between participants performances and the average preference entropy. Same convention as (B).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(B) and model, color coded by model of best fit.</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weight strongly in participants preferences compared to costs (both current and future). To identify which aspects of task structure participants use to guide their choices, we compared models in which individual preference components were removed one at a time. This effectively tests how decision making changes when participants are assumed to ignore one specific sources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was removed, larger values indicate that the factor account for a more important proportion of the full model’s fit. These results indicate that energy followed by offer have a much larger impact on participants final responses, whereas costs related preferences have a small impact on the overall fit.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602838"/>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602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investigate whether preferences constitute adaptive biases to improve return in the absence of planning, we first quantified the reward sensitivity of each task factors by computing the loss in return of policies derived from planning while ignoring each factor (relative to the return from the optimal policy</w:t>
      </w:r>
      <w:r>
        <w:t xml:space="preserve"> </w:t>
      </w:r>
      <w:hyperlink w:anchor="fig-task-features">
        <w:r>
          <w:rPr>
            <w:rStyle w:val="Hyperlink"/>
          </w:rPr>
          <w:t xml:space="preserve">Figure 5</w:t>
        </w:r>
      </w:hyperlink>
      <w:r>
        <w:t xml:space="preserve"> </w:t>
      </w:r>
      <w:r>
        <w:t xml:space="preserve">B). Our results show that ignoring current and future costs when planning does not lead to large losses in return, while ignoring offers leads to a more important loss in return. Importantly, ignoring energy leads to a loss return that is larger than a purely stochastic policy (i.e. equal probability of accepting and rejecting an offer on each trial), indicating that reward maximization is extremely sensitive to energy. This can be explained by the structure of our task: when ignoring whether leads to the energy budget to be depleted, preventing the agent to accept an offer. Notably, the disproportionate reward sensitivity of energy is not reflected in</w:t>
      </w:r>
      <w:r>
        <w:t xml:space="preserve"> </w:t>
      </w:r>
      <w:hyperlink w:anchor="fig-task-features">
        <w:r>
          <w:rPr>
            <w:rStyle w:val="Hyperlink"/>
          </w:rPr>
          <w:t xml:space="preserve">Figure 5</w:t>
        </w:r>
      </w:hyperlink>
      <w:r>
        <w:t xml:space="preserve"> </w:t>
      </w:r>
      <w:r>
        <w:t xml:space="preserve">A. This can be explained by the fact that</w:t>
      </w:r>
      <w:r>
        <w:t xml:space="preserve"> </w:t>
      </w:r>
      <w:hyperlink w:anchor="fig-task-features">
        <w:r>
          <w:rPr>
            <w:rStyle w:val="Hyperlink"/>
          </w:rPr>
          <w:t xml:space="preserve">Figure 5</w:t>
        </w:r>
      </w:hyperlink>
      <w:r>
        <w:t xml:space="preserve"> </w:t>
      </w:r>
      <w:r>
        <w:t xml:space="preserve">A only reflects the preference component of the preference model. The importance of the energy dimension is already strongly reflected in the planning component of hte preference model, and the difference in fit in</w:t>
      </w:r>
      <w:r>
        <w:t xml:space="preserve"> </w:t>
      </w:r>
      <w:hyperlink w:anchor="fig-task-features">
        <w:r>
          <w:rPr>
            <w:rStyle w:val="Hyperlink"/>
          </w:rPr>
          <w:t xml:space="preserve">Figure 5</w:t>
        </w:r>
      </w:hyperlink>
      <w:r>
        <w:t xml:space="preserve"> </w:t>
      </w:r>
      <w:r>
        <w:t xml:space="preserve">A only reflect the deviations from optimal planning, explaining the discrepancy.</w:t>
      </w:r>
    </w:p>
    <w:p>
      <w:pPr>
        <w:pStyle w:val="BodyText"/>
      </w:pPr>
      <w:r>
        <w:t xml:space="preserve">We further computed the expected return loss from policies derived from the preference component of the model (preference policies). If participants preferences constitutes a good enough solution to return maximization in the absence of planning, we would expect policies derived from preferences only to yield suboptimal yet relatively low return loss. In addition, we would expect the features modulating participants responses more strongly to lead to larger return losses when omitted from the preferences. In line with our expectations, we observe that the preference policy of the full model leads to some return loss. However, the loss is lower than the stochastic policy (grey line), indicating that relying on preference policy is better than simply responding randomly in each state (</w:t>
      </w:r>
      <w:hyperlink w:anchor="fig-task-features">
        <w:r>
          <w:rPr>
            <w:rStyle w:val="Hyperlink"/>
          </w:rPr>
          <w:t xml:space="preserve">Figure 5</w:t>
        </w:r>
      </w:hyperlink>
      <w:r>
        <w:t xml:space="preserve"> </w:t>
      </w:r>
      <w:r>
        <w:t xml:space="preserve">B). Furthermore, we observed that while preference policies ignoring current and future costs (CC and FC in</w:t>
      </w:r>
      <w:r>
        <w:t xml:space="preserve"> </w:t>
      </w:r>
      <w:hyperlink w:anchor="fig-task-features">
        <w:r>
          <w:rPr>
            <w:rStyle w:val="Hyperlink"/>
          </w:rPr>
          <w:t xml:space="preserve">Figure 5</w:t>
        </w:r>
      </w:hyperlink>
      <w:r>
        <w:t xml:space="preserve"> </w:t>
      </w:r>
      <w:r>
        <w:t xml:space="preserve">B) do not lead to a large decrease in return compared to the full preference policy, ignoring the offer leads to large loss in return. The largest loss in return occurs when ignoring the energy factor, resulting in even worst performance than a purely stochastic policy. These results indicate that participants preferences do not reflect maladaptive biases by overgeneralizing relevance of certain features from other contexts but rather constitute adaptive biases enabling good enough choice when planning cannot be pursued.</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the underlying mechanisms for participants preferences, we computed the factor dependent marginal action probability under the optimal policy.</w:t>
      </w:r>
      <w:r>
        <w:t xml:space="preserve"> </w:t>
      </w:r>
      <w:hyperlink w:anchor="fig-task-features">
        <w:r>
          <w:rPr>
            <w:rStyle w:val="Hyperlink"/>
          </w:rPr>
          <w:t xml:space="preserve">Figure 5</w:t>
        </w:r>
      </w:hyperlink>
      <w:r>
        <w:t xml:space="preserve"> </w:t>
      </w:r>
      <w:r>
        <w:t xml:space="preserve">C displays the preferences parameters against the marginal action probability. , showing that participants preferences closely reflect the feature specific marginal action probability of the optimal policy. Overall, participants preferences closely reflect the feature specific marginal action probability of the optimal policy, with some notable deviations. In the case of offer, preferences are lower than marginal action probability when offers are low (1 and 2), and significantly higher when offers are high (3 and 4). Across all other tasks levels, participants preferences are larger than marginal action probability,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our hypothesis, the degree to which participants engage in planning should depend on the strength of participants preferences, which should be reflected in RTs (the less planning, the faster the RTs). Previous studies have shown that participants RT is positively correlated with planning conflict, indicating that less planning is required when the value associated with each action is more clearly distinct</w:t>
      </w:r>
      <w:r>
        <w:t xml:space="preserve"> </w:t>
      </w:r>
      <w:r>
        <w:t xml:space="preserve">(Ott et al. 2022a)</w:t>
      </w:r>
      <w:r>
        <w:t xml:space="preserve">. We therefore predicted that the effect of preferences should modulate the effect of planning conflict: when participants preferences are strong, they engage less in planning overall, resulting in a lower dependence between RT and conflict.</w:t>
      </w:r>
    </w:p>
    <w:p>
      <w:pPr>
        <w:pStyle w:val="BodyText"/>
      </w:pPr>
      <w:r>
        <w:t xml:space="preserve">In line with our prediction, we observed that participants RT was influenced by conflict, preferences an the interaction between the two (see</w:t>
      </w:r>
      <w:r>
        <w:t xml:space="preserve"> </w:t>
      </w:r>
      <w:hyperlink w:anchor="fig-rt">
        <w:r>
          <w:rPr>
            <w:rStyle w:val="Hyperlink"/>
          </w:rPr>
          <w:t xml:space="preserve">Figure 6</w:t>
        </w:r>
      </w:hyperlink>
      <w:r>
        <w:t xml:space="preserve"> </w:t>
      </w:r>
      <w:r>
        <w:t xml:space="preserve">A). This result extend on the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preference and conflict strength. The positive interaction (see</w:t>
      </w:r>
      <w:r>
        <w:t xml:space="preserve"> </w:t>
      </w:r>
      <w:hyperlink w:anchor="fig-rt">
        <w:r>
          <w:rPr>
            <w:rStyle w:val="Hyperlink"/>
          </w:rPr>
          <w:t xml:space="preserve">Figure 6</w:t>
        </w:r>
      </w:hyperlink>
      <w:r>
        <w:t xml:space="preserve"> </w:t>
      </w:r>
      <w:r>
        <w:t xml:space="preserve">A) between conflict and preferences indicate that the dependence of planning on the degree of conflict is modulated by the strength of participants’ preferences. As can be seen in</w:t>
      </w:r>
      <w:r>
        <w:t xml:space="preserve"> </w:t>
      </w:r>
      <w:hyperlink w:anchor="fig-rt">
        <w:r>
          <w:rPr>
            <w:rStyle w:val="Hyperlink"/>
          </w:rPr>
          <w:t xml:space="preserve">Figure 6</w:t>
        </w:r>
      </w:hyperlink>
      <w:r>
        <w:t xml:space="preserve"> </w:t>
      </w:r>
      <w:r>
        <w:t xml:space="preserve">B, planning depends little on conflict when preferences are strong (entropy close to 0), but increasingly when preferences grow weaker (preference entropy of 0.5 or 1.0).</w:t>
      </w:r>
    </w:p>
    <w:p>
      <w:pPr>
        <w:pStyle w:val="BodyText"/>
      </w:pPr>
      <w:r>
        <w:t xml:space="preserve">In other words, when preferences or planning signals are clear, participants do not engage much effort in planning. Participants dedicate most efforts in planning when preferences and planning signals are both weak. Combined with the choice model, these results indicate that participants engage in forward planning only to reduce the current uncertainty in their choice if their preferences are uncertain.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824902"/>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824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In this paper, we investigated the systematicity in participants deviations from optimalility in a complex sequential decision making task. Our results reveal that participants choice behaviours reflects the combination of planning and task-structured preferences which are integrated in a Bayesian-like fashion, such that the certainty of the preference component modulates the extent to which participants rely on planning for making their decision. Investigations of participants RT further indicates that participants dedicate less resources in planning when their preferences are strong. Finally, exploring the impact of task features on reward maximization revealed that participants preferences are adapted to the task, enabling them to still obtain adequate returns in case planning is not feasible due to resource constraints.</w:t>
      </w:r>
    </w:p>
    <w:p>
      <w:pPr>
        <w:pStyle w:val="BodyText"/>
      </w:pPr>
      <w:r>
        <w:t xml:space="preserve">Our results constitute an important reframing of participants deviation from optimal behaviour. In the literature, biases are typically considered to be maladaptive nuisance effects, leading participants to behave poorly. Our results suggest that participants preferences constitute a compact summaries of task structure that help guide behavior when exhaustive planning is costly, when there is no time or when planning comes with high uncertainty. This framing aligns with the recently proposed policy compression framework, in which it has been shown that biases towards most frequent actions are instruemntal in maximizing returns: for an agent under resource constraints, the optimal policy integrates planning with marginal action distribution under the optimal policy which constitutes participants prior over action. Our present study however extends on this idea, by showing that rather than integrating planning with state independent priors over actions, participants rely on state dependent preferences. This is an important addition to the policy compression framework, which to our knowledge as only been tested in relatively simple decision making tasks. In most complex tasks, a state independent action prior would not yield to a much better outcome than just chosing responses randomly (as was the case in our task). It is therefore likely that to solve real world, complex problems, humans are able to keep track or approximate adequate responses preferences associated with relevant dimensions of the environment to maximize their return when they are unable to obtain fully certain or accuracy planning values.</w:t>
      </w:r>
    </w:p>
    <w:p>
      <w:pPr>
        <w:pStyle w:val="BodyText"/>
      </w:pPr>
      <w:r>
        <w:t xml:space="preserve">Importantly, despite the use of exhaustive planning with reinforcement learning algorithm to obtain action values in our task, it is unlikely that planning is implemented in this way in the brain, as it would be prohibitively expansive to do so for large state spaces. More biologically plausible alternatives have been proposed, such as sampling methods, reply, partial tree search and approximate value computations. We are not committed to either of these alternatives, as our main interest in the paper was to investigate the structure underlying participants deviations from planning. The observation that RT depends on the interaction between preferences strength and decision conflict suggests that whichever algorithm implements action value implementation in the brain, the extent of the computations can be controlled to obtain more or less precise estimates depending on the specific circumstances in which planning is called into action.</w:t>
      </w:r>
    </w:p>
    <w:p>
      <w:pPr>
        <w:numPr>
          <w:ilvl w:val="0"/>
          <w:numId w:val="1001"/>
        </w:numPr>
      </w:pPr>
      <w:r>
        <w:t xml:space="preserve">Discuss bigger picture: Biases are often treated as defects, nuisance terms, or deviations from rational planning. Your results suggest a different interpretation. In complex tasks, biases may reflect priors: compact summaries of task structure that help guide behavior when exhaustive planning is costly, when there is no time, when planning comes up with high uncertainty.</w:t>
      </w:r>
    </w:p>
    <w:p>
      <w:pPr>
        <w:numPr>
          <w:ilvl w:val="0"/>
          <w:numId w:val="1001"/>
        </w:numPr>
      </w:pPr>
      <w:r>
        <w:t xml:space="preserve">Discuss that we don’t imply that planning is done in the exhaustive way. Planning could be implemented by sampling, replay, partial tree search, or approximate value computation.</w:t>
      </w:r>
    </w:p>
    <w:p>
      <w:pPr>
        <w:numPr>
          <w:ilvl w:val="0"/>
          <w:numId w:val="1001"/>
        </w:numPr>
      </w:pPr>
      <w:r>
        <w:t xml:space="preserve">Discuss that we speculate that preference should read as priors and that we can’t show this here but the active inference framework offers itself here. And these are priors over policies, maybe good connection to your next point and connect to reinforcement learning findings:</w:t>
      </w:r>
    </w:p>
    <w:p>
      <w:pPr>
        <w:numPr>
          <w:ilvl w:val="0"/>
          <w:numId w:val="1001"/>
        </w:numPr>
      </w:pPr>
      <w:r>
        <w:t xml:space="preserve">Discuss how the results relate to the notion of computational rationality and policy compression</w:t>
      </w:r>
      <w:r>
        <w:t xml:space="preserve"> </w:t>
      </w:r>
      <w:r>
        <w:t xml:space="preserve">In policy compression framework, planning is complemented by the marginal action probability which is taken to constitute a prior over action. Our use of preferences constitutes an extension to it. Instead of considering marginal probability across states, our preferences define action probability based on the structure of the task, informing the default policy of subjects beyond what is done in traditional policy compression. Or put differently, in policy compression, assuming that participants are under too much pressure to rely on planning, participants should rely on state independent action prior, which is very restrictive and probably not adaptive. It is likely that participants rely on more information to make adaptive decisions even when planning is limited. Our Preferences offer a solution to this</w:t>
      </w:r>
    </w:p>
    <w:p>
      <w:pPr>
        <w:numPr>
          <w:ilvl w:val="0"/>
          <w:numId w:val="1001"/>
        </w:numPr>
      </w:pPr>
      <w:r>
        <w:t xml:space="preserve">Discuss how the results relate to Sarah’s model (2024 PLoS CB paper) and the idea of Certainty-based stopping criterion</w:t>
      </w:r>
    </w:p>
    <w:p>
      <w:pPr>
        <w:numPr>
          <w:ilvl w:val="0"/>
          <w:numId w:val="1001"/>
        </w:numPr>
      </w:pPr>
      <w:r>
        <w:t xml:space="preserve">Discuss how the results relate to the traditional distinction between habits and goal directed. Preferences might reflect the habit process, and our results might indicate that both modules are at play, just that planning kicks in only if habits are weak, also in line with Sarah’s work on balancing habits and goal directed behaviour paper from 2021</w:t>
      </w:r>
    </w:p>
    <w:p>
      <w:pPr>
        <w:numPr>
          <w:ilvl w:val="0"/>
          <w:numId w:val="1001"/>
        </w:numPr>
      </w:pPr>
      <w:r>
        <w:t xml:space="preserve">A limitation of the present work is we assume that preferences are fixed, thought they are likely to be dynamically updated throughout the task. Future work should aim to characterize preferences update mechanisms, by dynamically updating both the reward and transitional probabilty structure of the task, either in a gradually or chunk-wise (i.e. having separate experimental blocks with different task structures).</w:t>
      </w:r>
    </w:p>
    <w:p>
      <w:pPr>
        <w:pStyle w:val="FirstParagraph"/>
      </w:pPr>
      <w:r>
        <w:t xml:space="preserve">Similarly, Bayesian models of planning depth formalize the decision of how much to plan as a meta-decision about the value of further tree search</w:t>
      </w:r>
      <w:r>
        <w:t xml:space="preserve"> </w:t>
      </w:r>
      <w:r>
        <w:t xml:space="preserve">(Kuperwajs and Ma 2021)</w:t>
      </w:r>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84"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3"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4"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3">
        <w:r>
          <w:rPr>
            <w:rStyle w:val="Hyperlink"/>
          </w:rPr>
          <w:t xml:space="preserve">https://doi.org/10.18637/jss.v103.i15</w:t>
        </w:r>
      </w:hyperlink>
      <w:r>
        <w:t xml:space="preserve">.</w:t>
      </w:r>
    </w:p>
    <w:bookmarkEnd w:id="64"/>
    <w:bookmarkStart w:id="65"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65"/>
    <w:bookmarkStart w:id="66"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66"/>
    <w:bookmarkStart w:id="67"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67"/>
    <w:bookmarkStart w:id="68"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68"/>
    <w:bookmarkStart w:id="69"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69"/>
    <w:bookmarkStart w:id="70"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70"/>
    <w:bookmarkStart w:id="71"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71"/>
    <w:bookmarkStart w:id="72"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72"/>
    <w:bookmarkStart w:id="73"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73"/>
    <w:bookmarkStart w:id="75"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74">
        <w:r>
          <w:rPr>
            <w:rStyle w:val="Hyperlink"/>
          </w:rPr>
          <w:t xml:space="preserve">https://doi.org/10.1016/j.neuroimage.2022.119222</w:t>
        </w:r>
      </w:hyperlink>
      <w:r>
        <w:t xml:space="preserve">.</w:t>
      </w:r>
    </w:p>
    <w:bookmarkEnd w:id="75"/>
    <w:bookmarkStart w:id="77"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76">
        <w:r>
          <w:rPr>
            <w:rStyle w:val="Hyperlink"/>
          </w:rPr>
          <w:t xml:space="preserve">https://doi.org/10.5281/zenodo.6328296</w:t>
        </w:r>
      </w:hyperlink>
      <w:r>
        <w:t xml:space="preserve">.</w:t>
      </w:r>
    </w:p>
    <w:bookmarkEnd w:id="77"/>
    <w:bookmarkStart w:id="7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78"/>
    <w:bookmarkStart w:id="79"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79"/>
    <w:bookmarkStart w:id="80"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80"/>
    <w:bookmarkStart w:id="81"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81"/>
    <w:bookmarkStart w:id="82"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preview.html" TargetMode="External" /><Relationship Type="http://schemas.openxmlformats.org/officeDocument/2006/relationships/hyperlink" Id="rId74" Target="https://doi.org/10.1016/j.neuroimage.2022.119222" TargetMode="External" /><Relationship Type="http://schemas.openxmlformats.org/officeDocument/2006/relationships/hyperlink" Id="rId63" Target="https://doi.org/10.18637/jss.v103.i15" TargetMode="External" /><Relationship Type="http://schemas.openxmlformats.org/officeDocument/2006/relationships/hyperlink" Id="rId76"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preview.html" TargetMode="External" /><Relationship Type="http://schemas.openxmlformats.org/officeDocument/2006/relationships/hyperlink" Id="rId74" Target="https://doi.org/10.1016/j.neuroimage.2022.119222" TargetMode="External" /><Relationship Type="http://schemas.openxmlformats.org/officeDocument/2006/relationships/hyperlink" Id="rId63" Target="https://doi.org/10.18637/jss.v103.i15" TargetMode="External" /><Relationship Type="http://schemas.openxmlformats.org/officeDocument/2006/relationships/hyperlink" Id="rId76"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Stefan Kiebel</dc:creator>
  <cp:keywords>Decision making, Reinforcement learning</cp:keywords>
  <dcterms:created xsi:type="dcterms:W3CDTF">2026-06-05T15:03:31Z</dcterms:created>
  <dcterms:modified xsi:type="dcterms:W3CDTF">2026-06-05T15:03:31Z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