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63.png" ContentType="image/png"/>
  <Override PartName="/word/media/rId77.png" ContentType="image/png"/>
  <Override PartName="/word/media/rId71.png" ContentType="image/png"/>
  <Override PartName="/word/media/rId84.png" ContentType="image/png"/>
  <Override PartName="/word/media/rId35.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2026-07-27</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The Bayesian solution is therefore to combine current evidence with prior information.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planning-based decision making. In this case, the role of sensory evidence is taken by an internally generated estimate of action value. In sequential decision tasks, such estimates are assumed to be generated by internal forward planning, which provides state-specific information about the long-value of choosing an action. However, generating these estimates is assumed to be computationally costly because it requires evaluating future outcomes in complex and dynamic environments. In analogy to the Bayesian view on perception, agents may therefore combine their evidence, i.e. their internal estimates, with stored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Building on Bayesian accounts of prior–evidence integration and resource-rational accounts of costly planning, we assume that choices in complex sequential decision making reflect the integration of two sources of information about action. First, participants have acquired, for example during training,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Assuming a Bayesian approach, we hypothesize that these two sources are integrated by weighting the contribution of planning against preferences by their respective uncertainties. This hypothesis implies that on trials with strong preferences, these should guide choices and produce faster responses because less planning is needed. On trials with weak or uncertain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benchmark and ask whether participants’ deviations from this benchmark are systematic and better explained by task-structured preferences. We compare against several alternative models of how participants may combine planning-derived decision values with potential preferences. Our results show that participants’ choices are best captured by a model that combines planning-derived decision values with state-dependent preferences constructed from multiple task features. We further show in additional analyses that these preferences interact with planning such that choices are guided more strongly by planning when preferences are weak, and more strongly by preferences when they are decisive. Together, these findings suggest that, in complex sequential decision problems, costly forward planning is integrated with structured, task-informed preferences that enable faster and less computationally demanding choices when they provide a clear action tendency.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4"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LC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costs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depleted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In the beginning of each trial, a fixation cross was presented for 0.5s in the middle of the screen. Then, an offer appeared represented by the number of “cups” presented in the middle of the screen and choice options were presented on each side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Participants started with an energy budget of 3, and their reward points were accumulated throughout the entire experiment. Trial sequence was pseudorandomized, such that each costs transitions (LC to LC, LC to HC, HC to LC and HC to HC, see</w:t>
      </w:r>
      <w:r>
        <w:t xml:space="preserve"> </w:t>
      </w:r>
      <w:hyperlink w:anchor="fig-design">
        <w:r>
          <w:rPr>
            <w:rStyle w:val="Hyperlink"/>
          </w:rPr>
          <w:t xml:space="preserve">Figure 1</w:t>
        </w:r>
      </w:hyperlink>
      <w:r>
        <w:t xml:space="preserve"> </w:t>
      </w:r>
      <w:r>
        <w:t xml:space="preserve">C) occurred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considering outcomes up until the end of the task, we modelled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task only over these eight trials would implicitly treat the task as ending after the upcoming segment, leading the optimal policy to spend all remaining energy by the end of that horizon. To avoid this terminal artefact, we included one additional segment beyond the instructed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9"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specified four models that differed in how the linear predictor</w:t>
      </w:r>
      <w:r>
        <w:t xml:space="preserve"> </w:t>
      </w:r>
      <m:oMath>
        <m:r>
          <m:t>η</m:t>
        </m:r>
      </m:oMath>
      <w:r>
        <w:t xml:space="preserve"> </w:t>
      </w:r>
      <w:r>
        <w:t xml:space="preserve">was specified. All models included planning-derived DV, but differed in the additional regressors used to explain systematic deviations from optimal planning. We describe these models in the following, starting with the pure planning model as a benchmark and then adding increasingly structured accounts of participants’ deviations from optimal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specified a pure planning model,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(i.e. deviations from forward planning only) in participants responses reflects unstructured noise, alternative models with additional regressors would only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frequent action in recent history. Recent accounts of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which models participants responses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groups of states as separate contexts in which they plan to different extents. We refer to this model as the</w:t>
      </w:r>
      <w:r>
        <w:t xml:space="preserve"> </w:t>
      </w:r>
      <w:r>
        <w:rPr>
          <w:b/>
          <w:bCs/>
        </w:rPr>
        <w:t xml:space="preserve">context model</w:t>
      </w:r>
      <w:r>
        <w:t xml:space="preserve">. Here,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8" w:name="preferences-model"/>
    <w:p>
      <w:pPr>
        <w:pStyle w:val="Heading4"/>
      </w:pPr>
      <w:r>
        <w:t xml:space="preserve">2.3.4 Preferences model</w:t>
      </w:r>
    </w:p>
    <w:p>
      <w:pPr>
        <w:pStyle w:val="FirstParagraph"/>
      </w:pPr>
      <w:r>
        <w:t xml:space="preserve">Finally, we specified a preference model to test whether participants’ choices reflect the integration of forward planning with task-structured preferences. The model contains three components. First, as in the planning model, choices depend on the planning-derived decision value. Second, choices depend on a state-dependent preference score. This preference score is constructed by assigning weights to the levels of the main task features, namely offer, energy, current cost, and future cost, and linearly combining the corresponding weights for the current state. Third, the model includes a modulation term that tests whether the influence of planning depends on the uncertainty of the preference score. We quantified this uncertainty as the entropy of the preference-derived action tendency. The model therefore tests the prediction that participants rely more strongly on planning when their preferences are weak or uncertain:</w:t>
      </w:r>
    </w:p>
    <w:p>
      <w:pPr>
        <w:pStyle w:val="BodyText"/>
      </w:pPr>
      <w:bookmarkStart w:id="25"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p</m:t>
              </m:r>
              <m:r>
                <m:t>r</m:t>
              </m:r>
              <m:r>
                <m:t>e</m:t>
              </m:r>
              <m:r>
                <m:t>f</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26"/>
    </w:p>
    <w:p>
      <w:pPr>
        <w:pStyle w:val="FirstParagraph"/>
      </w:pPr>
      <w:r>
        <w:t xml:space="preserve">With:</w:t>
      </w:r>
    </w:p>
    <w:p>
      <w:pPr>
        <w:pStyle w:val="BodyText"/>
      </w:pPr>
      <w:bookmarkStart w:id="27"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27"/>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setup (energy, offer, current and future costs), and</w:t>
      </w:r>
      <w:r>
        <w:t xml:space="preserve"> </w:t>
      </w:r>
      <m:oMath>
        <m:r>
          <m:rPr>
            <m:sty m:val="b"/>
          </m:rPr>
          <m:t>β</m:t>
        </m:r>
      </m:oMath>
      <w:r>
        <w:t xml:space="preserve"> </w:t>
      </w:r>
      <w:r>
        <w:t xml:space="preserve">is a vector of weights estimated for each level of each factor.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30" w:name="model-fitting-and-comparison"/>
    <w:p>
      <w:pPr>
        <w:pStyle w:val="Heading3"/>
      </w:pPr>
      <w:r>
        <w:t xml:space="preserve">2.4 Model fitting and comparison</w:t>
      </w:r>
    </w:p>
    <w:p>
      <w:pPr>
        <w:pStyle w:val="FirstParagraph"/>
      </w:pPr>
      <w:r>
        <w:t xml:space="preserve">Models were fitted to participants’ response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when reaction time (RT) exceeded the response window (5s).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t xml:space="preserve">Each of the four main models presented in the main text was compared against alternative parameterizations to ensure the robustness of our findings and rule out alternative explanations. For example, the frequency 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context model was selected from a prior study</w:t>
      </w:r>
      <w:r>
        <w:t xml:space="preserve"> </w:t>
      </w:r>
      <w:r>
        <w:t xml:space="preserve">(Ott et al. 2022a)</w:t>
      </w:r>
      <w:r>
        <w:t xml:space="preserve"> </w:t>
      </w:r>
      <w:r>
        <w:t xml:space="preserve">after comparison with 21 alternatives. Similarly, reduced versions of the preferences model were tested against the full model by removing each component (planning, prefefrences and interactions) as well as individual task factors (see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context, and preferences) in the main text, with comparisons to all alternatives detailed in the supplementary material.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1" w:name="experimental-factors-relevance-analysis"/>
    <w:p>
      <w:pPr>
        <w:pStyle w:val="Heading3"/>
      </w:pPr>
      <w:r>
        <w:t xml:space="preserve">2.5 Experimental factors relevance analysis</w:t>
      </w:r>
    </w:p>
    <w:p>
      <w:pPr>
        <w:pStyle w:val="FirstParagraph"/>
      </w:pPr>
      <w:r>
        <w:t xml:space="preserve">The preference model estimates feature-specific preference weights for each task factor (energy, offer, current and future costs), revealing that participants’ deviations from optimal planning are more strongly driven by some factors of the task (energy and offers) than others (current and future costs). To quantify the behavioral contribution of each factor, we compared the full preference model to reduced models in which all preference regressors associated with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planning are systematically influenced by certain task features raises the question of whether preferences constitute unhelpful biases (suboptimal tendencies without adaptive value in the task) or whether they reflect a structured yet simplified solution to the task? In other words, could participant’s preferences constitute a low dimensional decomposition of the optimal policy, providing a cheap alternative to guide behavior in the absence of planning? To test this hypothesis, we conducted a series of analyses to test whether factors’ weights in participants preferences relate to the structure of the task.</w:t>
      </w:r>
    </w:p>
    <w:p>
      <w:pPr>
        <w:pStyle w:val="BodyText"/>
      </w:pPr>
      <w:r>
        <w:t xml:space="preserve">First asked whether the factors that are strongly weighted in participants’ preferences are more relevant for reward maximization. For this purpose, we constructed reduced MDPs in which one task factor was omitted by averaging transition probabilities and rewards across the levels of that factor. We then computed the optimal policy in the reduced MDP, projected this policy back onto the full MDP, and calculated the expected return.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planning. We derived policies from the preference component of the full model and from reduced preference models in which one task factor was omitted. We then computed the expected return of each preference-derived policy relative to the optimal policy. If task-structured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In the policy-compression framework, compressed policies can be described in terms of marginal action probabilities. We therefore computed, under the optimal policy, the probability of accepting each level of each task factor after marginalizing over all other factors. For example, we computed how often an offer of 1 should be accepted across all energy and cost states. We then compared these factor-wise marginal action probabilities with the fitted preference weights. A close correspondence would suggest that participants’ preferences may approximate feature-specific marginal action tendencies of the optimal policy.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3" w:name="reaction-times-analysis"/>
    <w:p>
      <w:pPr>
        <w:pStyle w:val="Heading3"/>
      </w:pPr>
      <w:r>
        <w:t xml:space="preserve">2.6 Reaction times analysis</w:t>
      </w:r>
    </w:p>
    <w:p>
      <w:pPr>
        <w:pStyle w:val="FirstParagraph"/>
      </w:pPr>
      <w:r>
        <w:t xml:space="preserve">In our task, exact computation of optimal policy is prohibitively expensive, given the size of task’s state space (1456 states), the number of steps to be planned ahead and the highly probabilistic nature of the task. Preferences derived from task knowledge or from task experience are presumably readily available to the participants, or require minimal computation. A part of our hypothesis is that instead of systematically considering all future outcomes before making a choice, participants consider the strength of their preferences to determine how much they should engage in forward planning. If this were the case, we would expect participants’ RT to reflect the strength of their preferences, as stronger preferences should be associated with less planning, hence faster RT.</w:t>
      </w:r>
    </w:p>
    <w:p>
      <w:pPr>
        <w:pStyle w:val="BodyText"/>
      </w:pPr>
      <w:r>
        <w:t xml:space="preserve">(Ott et al. 2022a)</w:t>
      </w:r>
      <w:r>
        <w:t xml:space="preserve"> </w:t>
      </w:r>
      <w:r>
        <w:t xml:space="preserve">showed that response times were slower when the planning-derived values of accepting and rejecting were similar, and that this conflict effect depended on task context, being stronger for intermediate than for extreme offers. Under our hypothesis, this context dependence should arise from a more general principle: the influence of planning conflict on response time should depend on the strength of participants’ task-structured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whether the effect of planning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response choice model) and the modulation of planning by preference entropy:</w:t>
      </w:r>
    </w:p>
    <w:p>
      <w:pPr>
        <w:pStyle w:val="BodyText"/>
      </w:pPr>
      <w:bookmarkStart w:id="32"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9</m:t>
          </m:r>
          <m:r>
            <m:rPr>
              <m:sty m:val="p"/>
            </m:rPr>
            <m:t>)</m:t>
          </m:r>
        </m:oMath>
      </m:oMathPara>
      <w:bookmarkEnd w:id="32"/>
    </w:p>
    <w:p>
      <w:pPr>
        <w:pStyle w:val="FirstParagraph"/>
      </w:pPr>
      <w:r>
        <w:t xml:space="preserve">We predicted a positive modulation, which would indicate that the larger the preference entropy (i.e. the weaker the preference), the larger the reliance on planning and the larger the RT.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58" w:name="results"/>
    <w:p>
      <w:pPr>
        <w:pStyle w:val="Heading2"/>
      </w:pPr>
      <w:r>
        <w:t xml:space="preserve">3 Results</w:t>
      </w:r>
    </w:p>
    <w:p>
      <w:pPr>
        <w:pStyle w:val="FirstParagraph"/>
      </w:pPr>
      <w:r>
        <w:t xml:space="preserve">Performances indicate that participants were able to perform the task well. Participants provided their responses with an average reaction time of 0.90s</w:t>
      </w:r>
      <w:r>
        <w:t xml:space="preserve"> </w:t>
      </w:r>
      <m:oMath>
        <m:r>
          <m:rPr>
            <m:sty m:val="p"/>
          </m:rPr>
          <m:t>±</m:t>
        </m:r>
      </m:oMath>
      <w:r>
        <w:t xml:space="preserve"> </w:t>
      </w:r>
      <w:r>
        <w:t xml:space="preserve">0.26 (s.d.) and failed to give their response before time out in only 65.00%</w:t>
      </w:r>
      <w:r>
        <w:t xml:space="preserve"> </w:t>
      </w:r>
      <m:oMath>
        <m:r>
          <m:rPr>
            <m:sty m:val="p"/>
          </m:rPr>
          <m:t>±</m:t>
        </m:r>
      </m:oMath>
      <w:r>
        <w:t xml:space="preserve"> </w:t>
      </w:r>
      <w:r>
        <w:t xml:space="preserve">133.32 (s.d.) out of 240 trials. On average, participants obtained 332.43</w:t>
      </w:r>
      <w:r>
        <w:t xml:space="preserve"> </w:t>
      </w:r>
      <m:oMath>
        <m:r>
          <m:rPr>
            <m:sty m:val="p"/>
          </m:rPr>
          <m:t>±</m:t>
        </m:r>
      </m:oMath>
      <w:r>
        <w:t xml:space="preserve"> </w:t>
      </w:r>
      <w:r>
        <w:t xml:space="preserve">6.64 (s.d.) points on average throughout the experiment.</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found in</w:t>
      </w:r>
      <w:r>
        <w:t xml:space="preserve"> </w:t>
      </w:r>
      <w:r>
        <w:t xml:space="preserve">(Ott et al. 2022a)</w:t>
      </w:r>
      <w:r>
        <w:t xml:space="preserve">, participants’ responses systematically deviate from optimality: the pure planning model has the lowest fit compared to the other three models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=585.98</w:t>
      </w:r>
      <w:r>
        <w:t xml:space="preserve"> </w:t>
      </w:r>
      <m:oMath>
        <m:r>
          <m:rPr>
            <m:sty m:val="p"/>
          </m:rPr>
          <m:t>±</m:t>
        </m:r>
      </m:oMath>
      <w:r>
        <w:t xml:space="preserve"> </w:t>
      </w:r>
      <w:r>
        <w:t xml:space="preserve">55.58 s.e., see</w:t>
      </w:r>
      <w:r>
        <w:t xml:space="preserve"> </w:t>
      </w:r>
      <w:hyperlink w:anchor="fig-choicemdl">
        <w:r>
          <w:rPr>
            <w:rStyle w:val="Hyperlink"/>
          </w:rPr>
          <w:t xml:space="preserve">Figure 2</w:t>
        </w:r>
      </w:hyperlink>
      <w:r>
        <w:t xml:space="preserve"> </w:t>
      </w:r>
      <w:r>
        <w:t xml:space="preserve">A). Furthermore, our results indicate that participants biases do not reflect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=580.89</w:t>
      </w:r>
      <w:r>
        <w:t xml:space="preserve"> </w:t>
      </w:r>
      <m:oMath>
        <m:r>
          <m:rPr>
            <m:sty m:val="p"/>
          </m:rPr>
          <m:t>±</m:t>
        </m:r>
      </m:oMath>
      <w:r>
        <w:t xml:space="preserve"> </w:t>
      </w:r>
      <w:r>
        <w:t xml:space="preserve">55.57),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=164.21</w:t>
      </w:r>
      <w:r>
        <w:t xml:space="preserve"> </w:t>
      </w:r>
      <m:oMath>
        <m:r>
          <m:rPr>
            <m:sty m:val="p"/>
          </m:rPr>
          <m:t>±</m:t>
        </m:r>
      </m:oMath>
      <w:r>
        <w:t xml:space="preserve"> </w:t>
      </w:r>
      <w:r>
        <w:t xml:space="preserve">52.46). Rather, participants exhibit preferences derived from the structure of the task, as the Preference model was found to fit the data best (see</w:t>
      </w:r>
      <w:r>
        <w:t xml:space="preserve"> </w:t>
      </w:r>
      <w:hyperlink w:anchor="fig-choicemdl">
        <w:r>
          <w:rPr>
            <w:rStyle w:val="Hyperlink"/>
          </w:rPr>
          <w:t xml:space="preserve">Figure 2</w:t>
        </w:r>
      </w:hyperlink>
      <w:r>
        <w:t xml:space="preserve"> </w:t>
      </w:r>
      <w:r>
        <w:t xml:space="preserve">A).</w:t>
      </w:r>
    </w:p>
    <w:p>
      <w:pPr>
        <w:pStyle w:val="BodyText"/>
      </w:pPr>
      <w:r>
        <w:t xml:space="preserve">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match between observed and predicted responses separately for each model and offer values, where we can see that the proportion of matches is on average higher for the preference compared to all other models. This result is highly consistent across participants: the preference model fits the data best for 35 out of 40 participants (see</w:t>
      </w:r>
      <w:r>
        <w:t xml:space="preserve"> </w:t>
      </w:r>
      <w:hyperlink w:anchor="fig-choicemdl">
        <w:r>
          <w:rPr>
            <w:rStyle w:val="Hyperlink"/>
          </w:rPr>
          <w:t xml:space="preserve">Figure 2</w:t>
        </w:r>
      </w:hyperlink>
      <w:r>
        <w:t xml:space="preserve"> </w:t>
      </w:r>
      <w:r>
        <w:t xml:space="preserve">B).</w:t>
      </w:r>
    </w:p>
    <w:p>
      <w:pPr>
        <w:pStyle w:val="BodyText"/>
      </w:pPr>
      <w:r>
        <w:t xml:space="preserve">The estimated preference weights associated with each task factor reveal systematic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posterior of each fitted parameter). Participants tend to reject low offers (1 and 2) more often than optimal planning would suggest, while they are biased towards accepting high offers (3 and 4). These biases are stronger for extreme offers (1 and 4) compared to intermediate ones (2 and 3).Energy state also plays a critical role in shaping participants’ decisions. When energy is maxed out (e = 6), participants almost always accept offers, even when rejecting would be more reward-maximizing. This behavior is intuitive: rejecting offers at max energy does yield additional energy, so participants prioritize immediate rewards, even at the cost of future ones. In contrast, when energy is at 0, participants almost never accept offers, even though the planner predicts a small probability of acceptance (~0.25). This discrepancy arises because the planner calculates decision values (DVs) based on long-term returns, where the difference between accepting and rejecting at energy = 0 is negative but not particularly large. However, participants appear to adopt a stricter rejection policy, likely reflecting an aversion to accepting offers that yield no immediate benefit.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have a smaller impact on participants’ behavior, with a slight bias towards accepting offers when costs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fig-choicemdl"/>
          <w:p>
            <w:pPr>
              <w:pStyle w:val="Compact"/>
              <w:jc w:val="center"/>
            </w:pPr>
            <w:r>
              <w:drawing>
                <wp:inline>
                  <wp:extent cx="5334000" cy="6924476"/>
                  <wp:effectExtent b="0" l="0" r="0" t="0"/>
                  <wp:docPr descr="" title="" id="36" name="Picture"/>
                  <a:graphic>
                    <a:graphicData uri="http://schemas.openxmlformats.org/drawingml/2006/picture">
                      <pic:pic>
                        <pic:nvPicPr>
                          <pic:cNvPr descr="index_files/figure-docx/fig-choicemdl-output-1.png" id="37" name="Picture"/>
                          <pic:cNvPicPr>
                            <a:picLocks noChangeArrowheads="1" noChangeAspect="1"/>
                          </pic:cNvPicPr>
                        </pic:nvPicPr>
                        <pic:blipFill>
                          <a:blip r:embed="rId35"/>
                          <a:stretch>
                            <a:fillRect/>
                          </a:stretch>
                        </pic:blipFill>
                        <pic:spPr bwMode="auto">
                          <a:xfrm>
                            <a:off x="0" y="0"/>
                            <a:ext cx="5334000" cy="69244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see</w:t>
            </w:r>
            <w:r>
              <w:t xml:space="preserve"> </w:t>
            </w:r>
            <w:hyperlink w:anchor="supptbl-model_comparison">
              <w:r>
                <w:rPr>
                  <w:rStyle w:val="Hyperlink"/>
                </w:rPr>
                <w:t xml:space="preserve">Table S1</w:t>
              </w:r>
            </w:hyperlink>
            <w:r>
              <w:t xml:space="preserve"> </w:t>
            </w:r>
            <w:r>
              <w:t xml:space="preserve">for model comparison results). (B) Model fit for each participant, color coded per model of best fit. (C) Observed and fitted probability of accepting the offer separately for each offer by each of the models. The single dots represent the average acceptance probability for each subject. (D)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tested the central prediction that the influence of planning should depend on the certainty of the preference signal. The preference model revealed a positive modulation of planning by preference entropy (</w:t>
      </w:r>
      <m:oMath>
        <m:sSub>
          <m:e>
            <m:r>
              <m:t>β</m:t>
            </m:r>
          </m:e>
          <m:sub>
            <m:r>
              <m:t>m</m:t>
            </m:r>
            <m:r>
              <m:t>o</m:t>
            </m:r>
            <m:r>
              <m:t>d</m:t>
            </m:r>
            <m:r>
              <m:t>u</m:t>
            </m:r>
            <m:r>
              <m:t>l</m:t>
            </m:r>
            <m:r>
              <m:t>a</m:t>
            </m:r>
            <m:r>
              <m:t>t</m:t>
            </m:r>
            <m:r>
              <m:t>i</m:t>
            </m:r>
            <m:r>
              <m:t>o</m:t>
            </m:r>
            <m:r>
              <m:t>n</m:t>
            </m:r>
          </m:sub>
        </m:sSub>
      </m:oMath>
      <w:r>
        <w:t xml:space="preserve">=1.31, CI=[0.36, 2.25]), indicating that planning-derived DV had a stronger influence on choices when preferences were more uncertain. Conversely, when preferences were strong, choices were less sensitive to planning-derived decision values and were more strongly guided by the preference component.</w:t>
      </w:r>
    </w:p>
    <w:p>
      <w:pPr>
        <w:pStyle w:val="BodyText"/>
      </w:pPr>
      <w:r>
        <w:t xml:space="preserve">To visualize this effect, we plotted the fitted probability of accepting as a function of planning-derived DV for different preferences values (see</w:t>
      </w:r>
      <w:r>
        <w:t xml:space="preserve"> </w:t>
      </w:r>
      <w:hyperlink w:anchor="fig-pref-planning-interaction">
        <w:r>
          <w:rPr>
            <w:rStyle w:val="Hyperlink"/>
          </w:rPr>
          <w:t xml:space="preserve">Figure 3</w:t>
        </w:r>
      </w:hyperlink>
      <w:r>
        <w:t xml:space="preserve"> </w:t>
      </w:r>
      <w:r>
        <w:t xml:space="preserve">A). This visualization shows the model-implied effect directly: the choice curve is steeper when preferences entropy is high (preference scores close to 0), indicating stronger reliance on planning, and flatter are preferences entropy increases (preference scores away from 0, deep blue and deep red lines in</w:t>
      </w:r>
      <w:r>
        <w:t xml:space="preserve"> </w:t>
      </w:r>
      <w:hyperlink w:anchor="fig-pref-planning-interaction">
        <w:r>
          <w:rPr>
            <w:rStyle w:val="Hyperlink"/>
          </w:rPr>
          <w:t xml:space="preserve">Figure 3</w:t>
        </w:r>
      </w:hyperlink>
      <w:r>
        <w:t xml:space="preserve"> </w:t>
      </w:r>
      <w:r>
        <w:t xml:space="preserve">A), indicating that choices are already largely determined by the preference signal.</w:t>
      </w:r>
      <w:r>
        <w:t xml:space="preserve"> </w:t>
      </w:r>
      <w:hyperlink w:anchor="fig-pref-planning-interaction">
        <w:r>
          <w:rPr>
            <w:rStyle w:val="Hyperlink"/>
          </w:rPr>
          <w:t xml:space="preserve">Figure 3</w:t>
        </w:r>
      </w:hyperlink>
      <w:r>
        <w:t xml:space="preserve"> </w:t>
      </w:r>
      <w:r>
        <w:t xml:space="preserve">B shows the observed probability of accepting the offer as a function of DV, separately when preferences were positive (upper panel) and negative (lower panel), further showing the effect of preferences on participants response choice: participants accept offer at lower DV when preference scores are positive compared to when preference scores are negative (</w:t>
      </w:r>
      <w:hyperlink w:anchor="suppfig-pref-planning-interaction">
        <w:r>
          <w:rPr>
            <w:rStyle w:val="Hyperlink"/>
          </w:rPr>
          <w:t xml:space="preserve">Figure S1</w:t>
        </w:r>
      </w:hyperlink>
      <w:r>
        <w:t xml:space="preserve"> </w:t>
      </w:r>
      <w:r>
        <w:t xml:space="preserve">shows participants responses and fitted values as a function of DV and preferences without binning).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920523"/>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9205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preferences and DV. (A) Fitted probability of accepting an offer as a function of planning DV, separately for preference score of [-4, -2, -1, 0, 1, 2, 4], to highlight the interaction between preferences scores and DV. Line represents mean of posterior distribution, shaded area is 95% C.I. (B) Offer acceptance probability (y-axis) binned per decision values (x-axis), separately for trials in which preference score is positive (top row, red bars) (bottom row, blue bars).</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these model components were behaviourally meaningful beyond predicting individual choices. Specifically, we tested whether overall task performance was related to participants’ reliance on planning, the strength of their task-structured preferences, and the extent to which preference uncertainty modulated planning.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not necessarily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(r=0.57, p=0.000,</w:t>
      </w:r>
      <w:r>
        <w:t xml:space="preserve"> </w:t>
      </w:r>
      <w:hyperlink w:anchor="fig-returns">
        <w:r>
          <w:rPr>
            <w:rStyle w:val="Hyperlink"/>
          </w:rPr>
          <w:t xml:space="preserve">Figure 4</w:t>
        </w:r>
      </w:hyperlink>
      <w:r>
        <w:t xml:space="preserve"> </w:t>
      </w:r>
      <w:r>
        <w:t xml:space="preserve">A),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B). However, contrary to our prediction, we observed a negative correlation though only marginally significant correlation between preferences entropy and return (r=-0.28, p=0.082,</w:t>
      </w:r>
      <w:r>
        <w:t xml:space="preserve"> </w:t>
      </w:r>
      <w:hyperlink w:anchor="fig-returns">
        <w:r>
          <w:rPr>
            <w:rStyle w:val="Hyperlink"/>
          </w:rPr>
          <w:t xml:space="preserve">Figure 4</w:t>
        </w:r>
      </w:hyperlink>
      <w:r>
        <w:t xml:space="preserve"> </w:t>
      </w:r>
      <w:r>
        <w:t xml:space="preserve">C).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(r=-0.08, p=0.648), while it remains strongly significant for planning (r=0.46, p=0.003)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2260169"/>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226016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Single participants fit and performances (A) Model fit for each participant, color coded per model of best fit. (B)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(C) Correlation between participants performances and the average preference entropy. Same convention as (B).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(B)</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preferences compared to costs (both current and future). The fitted preference weights already suggested that participants’ preferences were structured primarily by offer value and energy. We next asked whether the same pattern was evident from a complementary model-comparison perspective. To do so, we compared the full preference model with reduced models in which the preference terms for one task factor were removed at a time. This effectively tests how decision making changes when participants are assumed to ignore one specific sources of task information, such as offer value, action costs, or future transitions.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were removed one by one. Larger values indicate that the specific factor is more relevant for the full model’s fit. These results indicate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=137.35</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=133.96</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=47.00</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=27.34</w:t>
      </w:r>
      <w:r>
        <w:t xml:space="preserve"> </w:t>
      </w:r>
      <m:oMath>
        <m:r>
          <m:rPr>
            <m:sty m:val="p"/>
          </m:rPr>
          <m:t>±</m:t>
        </m:r>
      </m:oMath>
      <w:r>
        <w:t xml:space="preserve"> </w:t>
      </w:r>
      <w:r>
        <w:t xml:space="preserve">48.62 s.e.).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447239"/>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447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fitted preferences could serve as adaptive biases when planning is absent. As a first step, we quantified how strongly optimal return depends on each task factor. To do so, we derived policies from reduced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planning is highly sensitive to energy. This large loss reflects the structure of the task. A policy that ignores energy cannot adapt choices to the current energy budget. As a result, it can deplete energy in low-energy states as its behaviour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for by the planning component, so removing energy-related preference terms has a smaller effect on model fit than its importance for optimal return would suggest.</w:t>
      </w:r>
    </w:p>
    <w:p>
      <w:pPr>
        <w:pStyle w:val="BodyText"/>
      </w:pPr>
      <w:r>
        <w:t xml:space="preserve">Further, we asked whether the fitted preferences could support adaptive choice when planning is absent. If preferences capture useful task structure, policies derived from the preference component alone should be suboptimal, but should still produce lower return loss than a stochastic policy. In addition, removing task factors that strongly shape participants’ preferences should reduce the return of these preference policies. To quantify this, we computed the expected return loss of policies derived from the preference component alone. The full preference policy produced, as expected, a non-zero return loss of 28.53%, indicating that preferences did not fully replace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(grey line), showing that the fitted preferences captured task structure that was useful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w:t>
      </w:r>
    </w:p>
    <w:p>
      <w:pPr>
        <w:pStyle w:val="BodyText"/>
      </w:pPr>
      <w:r>
        <w:t xml:space="preserve">Together, these results suggest that participants’ preferences were not arbitrary biases, but adaptive approximations to optimal choice. They supported relatively good performance in the absence of planning, while remaining insufficient to fully replace planning-derived decision values.</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preferences parameters side-by-side with the marginal action probability, showing that participants’ preferences relatively closely reflect the feature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the proposed hypothesis, participants’ reliance on planning should depend on the strength of their preferences. Strong preferences should reduce the need for planning and therefore lead to faster responses, whereas weak or uncertain preferences should increase reliance on planning and lead to slower responses. Previous studies have shown that RT is positively correlated with planning conflict, indicating that less planning is required when the value associated with each action is more clearly distinct</w:t>
      </w:r>
      <w:r>
        <w:t xml:space="preserve"> </w:t>
      </w:r>
      <w:r>
        <w:t xml:space="preserve">(Ott et al. 2022a)</w:t>
      </w:r>
      <w:r>
        <w:t xml:space="preserve">. We therefore expected preference strength to attenuate the effect of planning conflict on RT: when participants’ preferences provide a clear action tendency, conflict between planning-derived action values should have a weaker influence on response times.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 CI=[0.09, 0.13]), (ii) entropy of preferences (</w:t>
      </w:r>
      <m:oMath>
        <m:sSub>
          <m:e>
            <m:r>
              <m:t>β</m:t>
            </m:r>
          </m:e>
          <m:sub>
            <m:r>
              <m:t>p</m:t>
            </m:r>
            <m:r>
              <m:t>r</m:t>
            </m:r>
            <m:r>
              <m:t>e</m:t>
            </m:r>
            <m:r>
              <m:t>f</m:t>
            </m:r>
          </m:sub>
        </m:sSub>
      </m:oMath>
      <w:r>
        <w:t xml:space="preserve">=0.44, CI=[0.41, 0.49]) and (iii) the interaction between the two (</w:t>
      </w:r>
      <m:oMath>
        <m:sSub>
          <m:e>
            <m:r>
              <m:t>β</m:t>
            </m:r>
          </m:e>
          <m:sub>
            <m:r>
              <m:t>m</m:t>
            </m:r>
            <m:r>
              <m:t>o</m:t>
            </m:r>
            <m:r>
              <m:t>d</m:t>
            </m:r>
            <m:r>
              <m:t>u</m:t>
            </m:r>
            <m:r>
              <m:t>l</m:t>
            </m:r>
            <m:r>
              <m:t>a</m:t>
            </m:r>
            <m:r>
              <m:t>t</m:t>
            </m:r>
            <m:r>
              <m:t>i</m:t>
            </m:r>
            <m:r>
              <m:t>o</m:t>
            </m:r>
            <m:r>
              <m:t>n</m:t>
            </m:r>
          </m:sub>
        </m:sSub>
      </m:oMath>
      <w:r>
        <w:t xml:space="preserve">=0.11, CI=[0.41, 0.49],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strength of preferences and conflict. The positive interaction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In other words, when preferences are strong and prescribe a clear action tendency, participants do not engage much effort in planning, even if conflict between decision values is high. Participants rely most on planning when preferences are weak. The highest RTs are observed when preferences are weak (green line) and conflict is high.</w:t>
      </w:r>
    </w:p>
    <w:p>
      <w:pPr>
        <w:pStyle w:val="BodyText"/>
      </w:pPr>
      <w:r>
        <w:t xml:space="preserve">Together, these results converge with the choice model and show that participants relied more strongly on planning-derived values when their task-structured preferences were weak, and this increased reliance was reflected in slower responses under planning conflict. Conversely, strong preferences were associated with weaker effects of planning conflict and faster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076773"/>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07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We tested the hypothesis that deviations from optimal forward planning in complex sequential decision making reflect structured preference-based guidance rather than unsystematic errors or simple history- and context-dependent biases. Across choice models, participants’ decisions were best explained by a model that combined planning-derived decision values with task-structured preferences over offers, energy, and costs. Critically, the influence of planning depended on the strength of these preferences: planning-derived values shaped choices more strongly when preferences were uncertain. Similarly, response-time analyses showed stronger effects of planning conflict when preferences were uncertain. Additional policy analyses indicated that these preferences were adaptive in the sense that they preserved reward-relevant task structure and supported above-stochastic returns even without planning. Policies relying solely on preferences achieved substantially higher returns than stochastic choice, although they remained below the optimal policy based on planning. Feature-wise analyses showed that these preferences captured reward-relevant structures of the task. Together, these results suggest that participants used task-structured preferences as efficient approximations to optimal choice, while relying more strongly on forward planning when these preferences did not provide a clear action tendency.</w:t>
      </w:r>
    </w:p>
    <w:p>
      <w:pPr>
        <w:pStyle w:val="BodyText"/>
      </w:pPr>
      <w:r>
        <w:t xml:space="preserve">A methodological contribution of the present study is that we combined a planning-derived decision-value term with a factorized preference component defined over the task features. Computational models of sequential decision 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experimental structure of the task. Conversely, factorial analyses of experimental data can quantify how different task factors influence behaviour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not as residual noise around planning, but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(Knill and Pouget 2004; Lee and Mumford 2003; Rao and Ballard 1999; Clark 2013; Friston 2010)</w:t>
      </w:r>
      <w:r>
        <w:t xml:space="preserve">. An intuitive interpretation of our results is that task-structured preferences play the role of action priors, whereas planning-derived values provide the likelihood-like, state-specific evidence about which action will lead to better future outcomes, and the strength of the priors determines the extent of forward planning. This interpretation is particularly evident in how preferences guide behavior in different states. In states where the relevant features jointly imply a clear action tendency (e.g. high offer, low cost and high energy), preferences alone may be sufficient to support efficient decision making, requiring minimal forward planning. In other states, different features support opposing actions. For instance, a moderate offer may favour rejection, whereas low cost and high energy may favour acceptance, resulting in a weaker and more uncertain preference signal. In such cases, forward planning can help resolve the remaining ambiguity by evaluating the future consequences of the available actions.</w:t>
      </w:r>
    </w:p>
    <w:p>
      <w:pPr>
        <w:pStyle w:val="BodyText"/>
      </w:pPr>
      <w:r>
        <w:t xml:space="preserve">The factorized preference component of our model constitutes an extension of existing Bayesian accounts of decision making</w:t>
      </w:r>
      <w:r>
        <w:t xml:space="preserve"> </w:t>
      </w:r>
      <w:r>
        <w:t xml:space="preserve">(Huys et al. 2012; Kuperwajs and Ma 2021; Schwöbel et al. 2021)</w:t>
      </w:r>
      <w:r>
        <w:t xml:space="preserve">, most explicitely to the policy compression framework which assumes that choice reflects the bayesian integration of planning derived value with state-independent action priors, reflecting the marginal action probability of the current policy</w:t>
      </w:r>
      <w:r>
        <w:t xml:space="preserve"> </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task sequential decision making tasks, where states can require different actions and where action–state combinations have downstream implications. Our results suggest that in such tasks, participants rely on state-dependent preferences. Our factorized preferences strike a balance between fully state-specific priors, which would be overly costly in terms of memory and completely state independent action priors, which would be too coarse grained to be useful in complex tasks. Existing Bayesian models of decision making should be extended to enable priors structure reflecting the relevant dimensions of the task at hands.</w:t>
      </w:r>
    </w:p>
    <w:p>
      <w:pPr>
        <w:pStyle w:val="BodyText"/>
      </w:pPr>
      <w:r>
        <w:t xml:space="preserve">This framing also extends on the work of</w:t>
      </w:r>
      <w:r>
        <w:t xml:space="preserve"> </w:t>
      </w:r>
      <w:r>
        <w:t xml:space="preserve">Ott et al. (2022a)</w:t>
      </w:r>
      <w:r>
        <w:t xml:space="preserve">, who found that participants exert more cognitive control for intermediate (2 and 3) compared to extreme (1 and 4) offers. They interpreted this finding as evidence that participants split the state space into coarse contexts and allocate context-dependent control. Our results offer a more nuanced interpretation: intermediate offers correspond to preferences with higher entropy (see</w:t>
      </w:r>
      <w:r>
        <w:t xml:space="preserve"> </w:t>
      </w:r>
      <w:hyperlink w:anchor="fig-choicemdl">
        <w:r>
          <w:rPr>
            <w:rStyle w:val="Hyperlink"/>
          </w:rPr>
          <w:t xml:space="preserve">Figure 2</w:t>
        </w:r>
      </w:hyperlink>
      <w:r>
        <w:t xml:space="preserve">), prompting greater planning effort to resolve uncertainty. Rather than splitting the state space into coarse context</w:t>
      </w:r>
      <w:r>
        <w:t xml:space="preserve"> </w:t>
      </w:r>
      <w:r>
        <w:t xml:space="preserve">(Ott et al. 2022a)</w:t>
      </w:r>
      <w:r>
        <w:t xml:space="preserve">, participants allocate planning efforts dynamically based on the strength of their structured priors. Under this view, cognitive control is invertly proportional to priors certainty and reflects how much they engage in forward planning to resolve choice uncertainty.</w:t>
      </w:r>
    </w:p>
    <w:p>
      <w:pPr>
        <w:pStyle w:val="BodyText"/>
      </w:pPr>
      <w:r>
        <w:t xml:space="preserve">Our results contribute to the debate about whether deviations from optimality reflects systematic errors or adaptive heuristics. Across psychology and perceptual decision 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others argue that biases reflect adaptive heuristics that serve as computation-less shortcuts enabling satisficing solutions in complex tasks</w:t>
      </w:r>
      <w:r>
        <w:t xml:space="preserve"> </w:t>
      </w:r>
      <w:r>
        <w:t xml:space="preserve">(</w:t>
      </w:r>
      <w:r>
        <w:t xml:space="preserve">Gigerenzer et al.</w:t>
      </w:r>
      <w:r>
        <w:t xml:space="preserve"> </w:t>
      </w:r>
      <w:r>
        <w:t xml:space="preserve">2000; Tsetsos et al. 2016; Gigerenzer and Brighton 2009)</w:t>
      </w:r>
      <w:r>
        <w:t xml:space="preserve">. In line with the adaptive heuristic interpretation, we find that preferences are not arbitrary residuals around an optimal planning process. Instead, they represent structured action tendencies derived from task features, supporting above-stochastic performance in the absence of planning. However, participants do not rely on preferences alone. Rather, biases from optimal decision making reflect action priors which are an inexpensive and quickly available first-pass yielding satisficing returns, which are complemented by planning when priors are uncertain and planning-derived action values are in conflict. This implies that there is no strict separation between a fast heuristic system and a slow planning system and that instead, both work in concert in the context of sequential decision making.</w:t>
      </w:r>
    </w:p>
    <w:p>
      <w:pPr>
        <w:pStyle w:val="BodyText"/>
      </w:pPr>
      <w:r>
        <w:t xml:space="preserve">Importantly, while our model suggest that task-structured preferences can function like prior action tendencies, the model is purely descriptive and does not establish that the fitted preferences are priors in a formal Bayesian sense. In addition, our model assumes that the preferences have been established prior to the start of the task and does not specify the learning dynamics or updating of these preferences. The similarity between preferences and factor levels-dependent marginal action probability (see</w:t>
      </w:r>
      <w:r>
        <w:t xml:space="preserve"> </w:t>
      </w:r>
      <w:hyperlink w:anchor="fig-task-features">
        <w:r>
          <w:rPr>
            <w:rStyle w:val="Hyperlink"/>
          </w:rPr>
          <w:t xml:space="preserve">Figure 5</w:t>
        </w:r>
      </w:hyperlink>
      <w:r>
        <w:t xml:space="preserve"> </w:t>
      </w:r>
      <w:r>
        <w:t xml:space="preserve">D) suggest that preferences might arise by keeping track of action performed in each level of each factor under an approximately optimal policy, in the training session for example. Furthermore general schemas from encounter with similar problem in the environment (budgetting decision in everyday life), or explicit instructions highlighting relevant features might also play a role in learning of preferences. A key question for future research is to establish whether the preferences truly constitute action priors, as well as determining how agents determine which features are relevant for constructing structured priors, especially in real-world settings where task structure is not explicit.</w:t>
      </w:r>
    </w:p>
    <w:p>
      <w:pPr>
        <w:pStyle w:val="BodyText"/>
      </w:pPr>
      <w:r>
        <w:t xml:space="preserve">In addition, while our model uses backward induction to derive state-action values, this does not imply that the brain implements forward planning in this way. Biologically plausible planning likely relies on approximate algorithm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planning. The observed interaction between RT, preferences strength and decision conflict suggests that whichever algorithm implements action value estimation in the brain, the extent of planning-related computation can be adaptively adjusted to obtain more or less precise estimates depending on preferences strength. Developing RL or active inference agents equipped with such structured priors, and testing their predictions against human data will be crucial for understanding the emergence and utility of efficient, adaptive decision strategies in complex environments.</w:t>
      </w:r>
    </w:p>
    <w:p>
      <w:pPr>
        <w:pStyle w:val="BodyText"/>
      </w:pPr>
      <w:r>
        <w:t xml:space="preserve">The presented account makes several testable predictions about when preference-based guidance should dominate. Reliance on preferences should increase when task features provide a clear action tendency, when planning time is limited, or when the marginal value of additional computation is low. Conversely, reliance on planning should increase when task features provide conflicting action tendencies, when future consequences are difficult to infer from local features alone, or when the cost of an error is high. Future experiments could test these predictions by manipulating time pressure, training, instructions, and task familiarity, planning horizon, task volatility, or the reliability of feature-based cues to disentangle these sources and examine how structured priors are formed, adapted and integrated with forward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2"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Start w:id="131" w:name="supplementary-material"/>
    <w:p>
      <w:pPr>
        <w:pStyle w:val="Heading2"/>
      </w:pPr>
      <w:r>
        <w:t xml:space="preserve">8 Supplementary material</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7" w:name="supplementary-figures"/>
    <w:p>
      <w:pPr>
        <w:pStyle w:val="Heading3"/>
      </w:pPr>
      <w:r>
        <w:t xml:space="preserve">8.1 Supplementary figures:</w:t>
      </w:r>
    </w:p>
    <w:tbl>
      <w:tblPr>
        <w:tblStyle w:val="Table"/>
        <w:tblW w:type="pct" w:w="5000"/>
        <w:tblLayout w:type="fixed"/>
        <w:tblLook w:firstRow="0" w:lastRow="0" w:firstColumn="0" w:lastColumn="0" w:noHBand="0" w:noVBand="0" w:val="0000"/>
      </w:tblPr>
      <w:tblGrid>
        <w:gridCol w:w="7920"/>
      </w:tblGrid>
      <w:tr>
        <w:tc>
          <w:tcPr/>
          <w:bookmarkStart w:id="66" w:name="suppfig-pref-planning-interaction"/>
          <w:p>
            <w:pPr>
              <w:pStyle w:val="Compact"/>
              <w:jc w:val="center"/>
            </w:pPr>
            <w:r>
              <w:drawing>
                <wp:inline>
                  <wp:extent cx="5334000" cy="7500679"/>
                  <wp:effectExtent b="0" l="0" r="0" t="0"/>
                  <wp:docPr descr="" title="" id="64" name="Picture"/>
                  <a:graphic>
                    <a:graphicData uri="http://schemas.openxmlformats.org/drawingml/2006/picture">
                      <pic:pic>
                        <pic:nvPicPr>
                          <pic:cNvPr descr="index_files/figure-docx/S1-supplementary_figures_tables-suppfig-pref-planning-interaction-output-1.png" id="65" name="Picture"/>
                          <pic:cNvPicPr>
                            <a:picLocks noChangeArrowheads="1" noChangeAspect="1"/>
                          </pic:cNvPicPr>
                        </pic:nvPicPr>
                        <pic:blipFill>
                          <a:blip r:embed="rId63"/>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6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7"/>
    <w:bookmarkStart w:id="70" w:name="supplementary-tables"/>
    <w:p>
      <w:pPr>
        <w:pStyle w:val="Heading3"/>
      </w:pPr>
      <w:r>
        <w:t xml:space="preserve">8.2 Supplementary tables:</w:t>
      </w:r>
    </w:p>
    <w:tbl>
      <w:tblPr>
        <w:tblStyle w:val="Table"/>
        <w:tblW w:type="pct" w:w="5000"/>
        <w:tblLayout w:type="fixed"/>
        <w:tblLook w:firstRow="0" w:lastRow="0" w:firstColumn="0" w:lastColumn="0" w:noHBand="0" w:noVBand="0" w:val="0000"/>
      </w:tblPr>
      <w:tblGrid>
        <w:gridCol w:w="7920"/>
      </w:tblGrid>
      <w:tr>
        <w:tc>
          <w:tcPr/>
          <w:bookmarkStart w:id="68"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9"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bookmarkStart w:id="83" w:name="supplementary-model-comparison"/>
    <w:p>
      <w:pPr>
        <w:pStyle w:val="Heading3"/>
      </w:pPr>
      <w:r>
        <w:t xml:space="preserve">8.3 Supplementary model comparison</w:t>
      </w:r>
    </w:p>
    <w:bookmarkStart w:id="76" w:name="preferences-model-comparison"/>
    <w:p>
      <w:pPr>
        <w:pStyle w:val="Heading4"/>
      </w:pPr>
      <w:r>
        <w:t xml:space="preserve">8.3.1 Preferences model comparison:</w:t>
      </w:r>
    </w:p>
    <w:p>
      <w:pPr>
        <w:pStyle w:val="FirstParagraph"/>
      </w:pPr>
      <w:r>
        <w:t xml:space="preserve">The preference model was observed to fit the data best, showing that participants behaviour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interaction was fitted to highlight the increase in fit associated with the interaction.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74" w:name="suppfig-preference_model_comparison"/>
          <w:p>
            <w:pPr>
              <w:pStyle w:val="Compact"/>
              <w:jc w:val="center"/>
            </w:pPr>
            <w:r>
              <w:drawing>
                <wp:inline>
                  <wp:extent cx="5334000" cy="4634813"/>
                  <wp:effectExtent b="0" l="0" r="0" t="0"/>
                  <wp:docPr descr="" title="" id="72" name="Picture"/>
                  <a:graphic>
                    <a:graphicData uri="http://schemas.openxmlformats.org/drawingml/2006/picture">
                      <pic:pic>
                        <pic:nvPicPr>
                          <pic:cNvPr descr="index_files/figure-docx/S2-choice_model_comparison-suppfig-preference_model_comparison-output-1.png" id="73" name="Picture"/>
                          <pic:cNvPicPr>
                            <a:picLocks noChangeArrowheads="1" noChangeAspect="1"/>
                          </pic:cNvPicPr>
                        </pic:nvPicPr>
                        <pic:blipFill>
                          <a:blip r:embed="rId71"/>
                          <a:stretch>
                            <a:fillRect/>
                          </a:stretch>
                        </pic:blipFill>
                        <pic:spPr bwMode="auto">
                          <a:xfrm>
                            <a:off x="0" y="0"/>
                            <a:ext cx="5334000" cy="4634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7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5"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-1491.09</w:t>
                  </w:r>
                </w:p>
              </w:tc>
              <w:tc>
                <w:tcPr/>
                <w:p>
                  <w:pPr>
                    <w:pStyle w:val="Compact"/>
                    <w:jc w:val="right"/>
                    <w:jc w:val="center"/>
                  </w:pPr>
                  <w:r>
                    <w:t xml:space="preserve">253.49</w:t>
                  </w:r>
                </w:p>
              </w:tc>
              <w:tc>
                <w:tcPr/>
                <w:p>
                  <w:pPr>
                    <w:pStyle w:val="Compact"/>
                    <w:jc w:val="right"/>
                    <w:jc w:val="center"/>
                  </w:pPr>
                  <w:r>
                    <w:t xml:space="preserve">0</w:t>
                  </w:r>
                </w:p>
              </w:tc>
              <w:tc>
                <w:tcPr/>
                <w:p>
                  <w:pPr>
                    <w:pStyle w:val="Compact"/>
                    <w:jc w:val="right"/>
                    <w:jc w:val="center"/>
                  </w:pPr>
                  <w:r>
                    <w:t xml:space="preserve">48.6156</w:t>
                  </w:r>
                </w:p>
              </w:tc>
              <w:tc>
                <w:tcPr/>
                <w:p>
                  <w:pPr>
                    <w:pStyle w:val="Compact"/>
                    <w:jc w:val="right"/>
                    <w:jc w:val="center"/>
                  </w:pPr>
                  <w:r>
                    <w:t xml:space="preserve">0</w:t>
                  </w:r>
                </w:p>
              </w:tc>
            </w:tr>
            <w:tr>
              <w:tc>
                <w:tcPr/>
                <w:p>
                  <w:pPr>
                    <w:pStyle w:val="Compact"/>
                    <w:jc w:val="left"/>
                    <w:jc w:val="center"/>
                  </w:pPr>
                  <w:r>
                    <w:t xml:space="preserve">No_Interaction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10.3472</w:t>
                  </w:r>
                </w:p>
              </w:tc>
              <w:tc>
                <w:tcPr/>
                <w:p>
                  <w:pPr>
                    <w:pStyle w:val="Compact"/>
                    <w:jc w:val="right"/>
                    <w:jc w:val="center"/>
                  </w:pPr>
                  <w:r>
                    <w:t xml:space="preserve">48.9103</w:t>
                  </w:r>
                </w:p>
              </w:tc>
              <w:tc>
                <w:tcPr/>
                <w:p>
                  <w:pPr>
                    <w:pStyle w:val="Compact"/>
                    <w:jc w:val="right"/>
                    <w:jc w:val="center"/>
                  </w:pPr>
                  <w:r>
                    <w:t xml:space="preserve">5.41809</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26.7017</w:t>
                  </w:r>
                </w:p>
              </w:tc>
              <w:tc>
                <w:tcPr/>
                <w:p>
                  <w:pPr>
                    <w:pStyle w:val="Compact"/>
                    <w:jc w:val="right"/>
                    <w:jc w:val="center"/>
                  </w:pPr>
                  <w:r>
                    <w:t xml:space="preserve">48.5354</w:t>
                  </w:r>
                </w:p>
              </w:tc>
              <w:tc>
                <w:tcPr/>
                <w:p>
                  <w:pPr>
                    <w:pStyle w:val="Compact"/>
                    <w:jc w:val="right"/>
                    <w:jc w:val="center"/>
                  </w:pPr>
                  <w:r>
                    <w:t xml:space="preserve">7.5994</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48.3996</w:t>
                  </w:r>
                </w:p>
              </w:tc>
              <w:tc>
                <w:tcPr/>
                <w:p>
                  <w:pPr>
                    <w:pStyle w:val="Compact"/>
                    <w:jc w:val="right"/>
                    <w:jc w:val="center"/>
                  </w:pPr>
                  <w:r>
                    <w:t xml:space="preserve">49.8892</w:t>
                  </w:r>
                </w:p>
              </w:tc>
              <w:tc>
                <w:tcPr/>
                <w:p>
                  <w:pPr>
                    <w:pStyle w:val="Compact"/>
                    <w:jc w:val="right"/>
                    <w:jc w:val="center"/>
                  </w:pPr>
                  <w:r>
                    <w:t xml:space="preserve">9.67725</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90.1381</w:t>
                  </w:r>
                </w:p>
              </w:tc>
              <w:tc>
                <w:tcPr/>
                <w:p>
                  <w:pPr>
                    <w:pStyle w:val="Compact"/>
                    <w:jc w:val="right"/>
                    <w:jc w:val="center"/>
                  </w:pPr>
                  <w:r>
                    <w:t xml:space="preserve">48.8039</w:t>
                  </w:r>
                </w:p>
              </w:tc>
              <w:tc>
                <w:tcPr/>
                <w:p>
                  <w:pPr>
                    <w:pStyle w:val="Compact"/>
                    <w:jc w:val="right"/>
                    <w:jc w:val="center"/>
                  </w:pPr>
                  <w:r>
                    <w:t xml:space="preserve">17.2262</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135.351</w:t>
                  </w:r>
                </w:p>
              </w:tc>
              <w:tc>
                <w:tcPr/>
                <w:p>
                  <w:pPr>
                    <w:pStyle w:val="Compact"/>
                    <w:jc w:val="right"/>
                    <w:jc w:val="center"/>
                  </w:pPr>
                  <w:r>
                    <w:t xml:space="preserve">51.5682</w:t>
                  </w:r>
                </w:p>
              </w:tc>
              <w:tc>
                <w:tcPr/>
                <w:p>
                  <w:pPr>
                    <w:pStyle w:val="Compact"/>
                    <w:jc w:val="right"/>
                    <w:jc w:val="center"/>
                  </w:pPr>
                  <w:r>
                    <w:t xml:space="preserve">17.8535</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138.745</w:t>
                  </w:r>
                </w:p>
              </w:tc>
              <w:tc>
                <w:tcPr/>
                <w:p>
                  <w:pPr>
                    <w:pStyle w:val="Compact"/>
                    <w:jc w:val="right"/>
                    <w:jc w:val="center"/>
                  </w:pPr>
                  <w:r>
                    <w:t xml:space="preserve">54.4382</w:t>
                  </w:r>
                </w:p>
              </w:tc>
              <w:tc>
                <w:tcPr/>
                <w:p>
                  <w:pPr>
                    <w:pStyle w:val="Compact"/>
                    <w:jc w:val="right"/>
                    <w:jc w:val="center"/>
                  </w:pPr>
                  <w:r>
                    <w:t xml:space="preserve">19.333</w:t>
                  </w:r>
                </w:p>
              </w:tc>
            </w:tr>
          </w:tbl>
          <w:bookmarkEnd w:id="7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Start w:id="82" w:name="frequency-model-comparison"/>
    <w:p>
      <w:pPr>
        <w:pStyle w:val="Heading4"/>
      </w:pPr>
      <w:r>
        <w:t xml:space="preserve">8.3.2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80" w:name="suppfig-frequency_model_comparison"/>
          <w:p>
            <w:pPr>
              <w:pStyle w:val="Compact"/>
              <w:jc w:val="center"/>
            </w:pPr>
            <w:r>
              <w:drawing>
                <wp:inline>
                  <wp:extent cx="5334000" cy="5418265"/>
                  <wp:effectExtent b="0" l="0" r="0" t="0"/>
                  <wp:docPr descr="" title="" id="78" name="Picture"/>
                  <a:graphic>
                    <a:graphicData uri="http://schemas.openxmlformats.org/drawingml/2006/picture">
                      <pic:pic>
                        <pic:nvPicPr>
                          <pic:cNvPr descr="index_files/figure-docx/S2-choice_model_comparison-suppfig-frequency_model_comparison-output-1.png" id="79" name="Picture"/>
                          <pic:cNvPicPr>
                            <a:picLocks noChangeArrowheads="1" noChangeAspect="1"/>
                          </pic:cNvPicPr>
                        </pic:nvPicPr>
                        <pic:blipFill>
                          <a:blip r:embed="rId77"/>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8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81"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2"/>
    <w:bookmarkEnd w:id="83"/>
    <w:bookmarkStart w:id="130" w:name="parameters-recovery"/>
    <w:p>
      <w:pPr>
        <w:pStyle w:val="Heading3"/>
      </w:pPr>
      <w:r>
        <w:t xml:space="preserve">8.4 Parameters recovery:</w:t>
      </w:r>
    </w:p>
    <w:p>
      <w:pPr>
        <w:pStyle w:val="FirstParagraph"/>
      </w:pPr>
      <w:r>
        <w:t xml:space="preserve">In the main text, the preference model was observed to fit participants behaviour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87" w:name="suppfig-population_parameter_recovery"/>
          <w:p>
            <w:pPr>
              <w:pStyle w:val="Compact"/>
              <w:jc w:val="center"/>
            </w:pPr>
            <w:r>
              <w:drawing>
                <wp:inline>
                  <wp:extent cx="5334000" cy="2157093"/>
                  <wp:effectExtent b="0" l="0" r="0" t="0"/>
                  <wp:docPr descr="" title="" id="85" name="Picture"/>
                  <a:graphic>
                    <a:graphicData uri="http://schemas.openxmlformats.org/drawingml/2006/picture">
                      <pic:pic>
                        <pic:nvPicPr>
                          <pic:cNvPr descr="index_files/figure-docx/S3-parameters_recovery-suppfig-population_parameter_recovery-output-1.png" id="86" name="Picture"/>
                          <pic:cNvPicPr>
                            <a:picLocks noChangeArrowheads="1" noChangeAspect="1"/>
                          </pic:cNvPicPr>
                        </pic:nvPicPr>
                        <pic:blipFill>
                          <a:blip r:embed="rId84"/>
                          <a:stretch>
                            <a:fillRect/>
                          </a:stretch>
                        </pic:blipFill>
                        <pic:spPr bwMode="auto">
                          <a:xfrm>
                            <a:off x="0" y="0"/>
                            <a:ext cx="5334000" cy="2157093"/>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9" w:name="refs"/>
    <w:bookmarkStart w:id="88"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88"/>
    <w:bookmarkStart w:id="89"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89"/>
    <w:bookmarkStart w:id="90"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90"/>
    <w:bookmarkStart w:id="91"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91"/>
    <w:bookmarkStart w:id="92"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92"/>
    <w:bookmarkStart w:id="93"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93"/>
    <w:bookmarkStart w:id="95"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94">
        <w:r>
          <w:rPr>
            <w:rStyle w:val="Hyperlink"/>
          </w:rPr>
          <w:t xml:space="preserve">https://doi.org/10.18637/jss.v103.i15</w:t>
        </w:r>
      </w:hyperlink>
      <w:r>
        <w:t xml:space="preserve">.</w:t>
      </w:r>
    </w:p>
    <w:bookmarkEnd w:id="95"/>
    <w:bookmarkStart w:id="96"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96"/>
    <w:bookmarkStart w:id="97"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97"/>
    <w:bookmarkStart w:id="98"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98"/>
    <w:bookmarkStart w:id="99"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99"/>
    <w:bookmarkStart w:id="100"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100"/>
    <w:bookmarkStart w:id="101"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101"/>
    <w:bookmarkStart w:id="102"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102"/>
    <w:bookmarkStart w:id="103"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103"/>
    <w:bookmarkStart w:id="104"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104"/>
    <w:bookmarkStart w:id="105"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105"/>
    <w:bookmarkStart w:id="106"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106"/>
    <w:bookmarkStart w:id="107"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107"/>
    <w:bookmarkStart w:id="108"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108"/>
    <w:bookmarkStart w:id="109"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109"/>
    <w:bookmarkStart w:id="110"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110"/>
    <w:bookmarkStart w:id="111"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111"/>
    <w:bookmarkStart w:id="112"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112"/>
    <w:bookmarkStart w:id="114"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113">
        <w:r>
          <w:rPr>
            <w:rStyle w:val="Hyperlink"/>
          </w:rPr>
          <w:t xml:space="preserve">https://doi.org/10.1016/j.neuroimage.2022.119222</w:t>
        </w:r>
      </w:hyperlink>
      <w:r>
        <w:t xml:space="preserve">.</w:t>
      </w:r>
    </w:p>
    <w:bookmarkEnd w:id="114"/>
    <w:bookmarkStart w:id="116"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115">
        <w:r>
          <w:rPr>
            <w:rStyle w:val="Hyperlink"/>
          </w:rPr>
          <w:t xml:space="preserve">https://doi.org/10.5281/zenodo.6328296</w:t>
        </w:r>
      </w:hyperlink>
      <w:r>
        <w:t xml:space="preserve">.</w:t>
      </w:r>
    </w:p>
    <w:bookmarkEnd w:id="116"/>
    <w:bookmarkStart w:id="117"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117"/>
    <w:bookmarkStart w:id="118"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118"/>
    <w:bookmarkStart w:id="119"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119"/>
    <w:bookmarkStart w:id="12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20"/>
    <w:bookmarkStart w:id="12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21"/>
    <w:bookmarkStart w:id="12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22"/>
    <w:bookmarkStart w:id="12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23"/>
    <w:bookmarkStart w:id="12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24"/>
    <w:bookmarkStart w:id="12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25"/>
    <w:bookmarkStart w:id="126"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26"/>
    <w:bookmarkStart w:id="127"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27"/>
    <w:bookmarkStart w:id="128"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28"/>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ipynb.html" TargetMode="External" /><Relationship Type="http://schemas.openxmlformats.org/officeDocument/2006/relationships/hyperlink" Id="rId113" Target="https://doi.org/10.1016/j.neuroimage.2022.119222" TargetMode="External" /><Relationship Type="http://schemas.openxmlformats.org/officeDocument/2006/relationships/hyperlink" Id="rId94" Target="https://doi.org/10.18637/jss.v103.i15" TargetMode="External" /><Relationship Type="http://schemas.openxmlformats.org/officeDocument/2006/relationships/hyperlink" Id="rId115"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113" Target="https://doi.org/10.1016/j.neuroimage.2022.119222" TargetMode="External" /><Relationship Type="http://schemas.openxmlformats.org/officeDocument/2006/relationships/hyperlink" Id="rId94" Target="https://doi.org/10.18637/jss.v103.i15" TargetMode="External" /><Relationship Type="http://schemas.openxmlformats.org/officeDocument/2006/relationships/hyperlink" Id="rId115"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Florian Ott; Stefan Kiebel</dc:creator>
  <cp:keywords>Decision making, Reinforcement learning</cp:keywords>
  <dcterms:created xsi:type="dcterms:W3CDTF">2026-07-27T14:04:28Z</dcterms:created>
  <dcterms:modified xsi:type="dcterms:W3CDTF">2026-07-27T14:04:28Z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2026-07-27</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