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12.png" ContentType="image/png"/>
  <Override PartName="/word/media/rId126.png" ContentType="image/png"/>
  <Override PartName="/word/media/rId120.png" ContentType="image/png"/>
  <Override PartName="/word/media/rId133.png" ContentType="image/png"/>
  <Override PartName="/word/media/rId14.png" ContentType="image/png"/>
  <Override PartName="/word/media/rId18.png" ContentType="image/png"/>
  <Override PartName="/word/media/rId22.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Task-structured preferences guide forward planning in sequential decision-making</w:t>
      </w:r>
    </w:p>
    <w:p>
      <w:pPr>
        <w:pStyle w:val="Author"/>
      </w:pPr>
      <w:r>
        <w:t xml:space="preserve">Alex Lepauvre</w:t>
      </w:r>
    </w:p>
    <w:p>
      <w:pPr>
        <w:pStyle w:val="Author"/>
      </w:pPr>
      <w:r>
        <w:t xml:space="preserve">Florian Ott</w:t>
      </w:r>
    </w:p>
    <w:p>
      <w:pPr>
        <w:pStyle w:val="Author"/>
      </w:pPr>
      <w:r>
        <w:t xml:space="preserve">Stefan J. Kiebel</w:t>
      </w:r>
    </w:p>
    <w:p>
      <w:pPr>
        <w:pStyle w:val="Date"/>
      </w:pPr>
      <w:r>
        <w:t xml:space="preserve">2026-10-02</w:t>
      </w:r>
    </w:p>
    <w:p>
      <w:pPr>
        <w:pStyle w:val="AbstractTitle"/>
      </w:pPr>
      <w:r>
        <w:t xml:space="preserve">Abstract</w:t>
      </w:r>
    </w:p>
    <w:p>
      <w:pPr>
        <w:pStyle w:val="Abstract"/>
      </w:pPr>
      <w:r>
        <w:t xml:space="preserve">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w:t>
      </w:r>
    </w:p>
    <w:bookmarkStart w:id="9"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Pouget et al. 2013;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Bayesian accounts provide an influential framework for describing this integration of current evidence and prior information. In this framework, the influence of prior information depends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decision-making based on forward planning, where choices require evaluating the future consequences of currently available actions. Here, we use the term forward planning in a computational sense: it refers to the estimation of future action consequences, not necessarily to a consciously accessible process of deliberation. In this case, evidence consists of estimates of state-action values internally generated by the computational process implementing forward planning in the brain, similar to how sensory organs gather evidence by sampling the environment according to Bayesian accounts of perception. . In sequential decision tasks, forward planning can generate such estimates by evaluating the future consequences of each action in the current state. However, generating these estimates is typically computationally costly, because it requires evaluating future outcomes in complex and dynamic environments</w:t>
      </w:r>
      <w:r>
        <w:t xml:space="preserve"> </w:t>
      </w:r>
      <w:r>
        <w:t xml:space="preserve">(</w:t>
      </w:r>
      <w:r>
        <w:t xml:space="preserve">Sutton et al.</w:t>
      </w:r>
      <w:r>
        <w:t xml:space="preserve"> </w:t>
      </w:r>
      <w:r>
        <w:t xml:space="preserve">1998; Gershman et al. 2015; Callaway et al. 2022)</w:t>
      </w:r>
      <w:r>
        <w:t xml:space="preserve">. In analogy to the Bayesian view on perception, agents may therefore combine their evidence, i.e. their internal estimates about future consequences, with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Callaway et al. 2022; Tishby and Polani 2010; Parush et al. 2011)</w:t>
      </w:r>
      <w:r>
        <w:t xml:space="preserve">.</w:t>
      </w:r>
    </w:p>
    <w:p>
      <w:pPr>
        <w:pStyle w:val="BodyText"/>
      </w:pPr>
      <w:r>
        <w:t xml:space="preserve">However, it remains unclear how such prior-like action tendencies are structured in complex sequential decision-making tasks and whether their uncertainty determines reliance on forward planning. In particular, it is unknown whether agents can exploit multiple features of the task to form structured preferences that regulate the influence of planning-derived values. This leads to the central hypothesis of the present study: choice behavior in complex sequential decision-making integrates two sources of action guidance. First, participants may rely on task-specific preferences that summarize regularities learned from task structure or experience. Second, they may use forward planning, as for example typically modelled by reinforcement learning, to compute state-specific action values on the current trial. Assuming a Bayesian approach, we hypothesize that these two sources are integrated by weighting the contribution of forward planning against preferences by their respective uncertainties. This hypothesis implies that on trials where uncertainty about preferences is low, choices should be guided mainly by the preferences, producing faster responses because less forward planning is needed. On trials with less 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reference model and ask whether participants’ deviations from this reference are systematic and better explained by including task-specific preferences. We compare this account against several alternative models of how participants may combine planning-derived decision values with potential preferences. Participants’ choices were best captured by a model combining forward planning with task-specific preferences from multiple task features. Response-time analyses converged with this pattern, showing that forward planning conflict slowed responses most when preferences were weak. Together, these findings suggest that costly forward planning is integrated with structured, task-informed preferences that enable faster and less computationally demanding choices when they provide a clear action tendency.</w:t>
      </w:r>
    </w:p>
    <w:bookmarkEnd w:id="9"/>
    <w:bookmarkStart w:id="37" w:name="results"/>
    <w:p>
      <w:pPr>
        <w:pStyle w:val="Heading2"/>
      </w:pPr>
      <w:r>
        <w:t xml:space="preserve">2 Results</w:t>
      </w:r>
    </w:p>
    <w:p>
      <w:pPr>
        <w:pStyle w:val="FirstParagraph"/>
      </w:pPr>
      <w:r>
        <w:t xml:space="preserve">We tested our hypothesis on a previously published dataset in which participants (N=40) performed a sequential decision-making task with a large state space (</w:t>
      </w:r>
      <w:r>
        <w:t xml:space="preserve">Ott et al. (2022b)</w:t>
      </w:r>
      <w:r>
        <w:t xml:space="preserve">, see</w:t>
      </w:r>
      <w:r>
        <w:t xml:space="preserve"> </w:t>
      </w:r>
      <w:hyperlink w:anchor="fig-design">
        <w:r>
          <w:rPr>
            <w:rStyle w:val="Hyperlink"/>
          </w:rPr>
          <w:t xml:space="preserve">Figure 1</w:t>
        </w:r>
      </w:hyperlink>
      <w:r>
        <w:t xml:space="preserve"> </w:t>
      </w:r>
      <w:r>
        <w:t xml:space="preserve">and</w:t>
      </w:r>
      <w:r>
        <w:t xml:space="preserve"> </w:t>
      </w:r>
      <w:hyperlink w:anchor="sec-data-desgin">
        <w:r>
          <w:rPr>
            <w:rStyle w:val="Hyperlink"/>
          </w:rPr>
          <w:t xml:space="preserve">Section 4.1</w:t>
        </w:r>
      </w:hyperlink>
      <w:r>
        <w:t xml:space="preserve"> </w:t>
      </w:r>
      <w:r>
        <w:t xml:space="preserve">for the full description of the design). On each trial, participants chose whether to accept or reject an offer worth 1-4 points. Accepting an offer yielded its reward but incurred and energy cost of 1 or 2 points, whereas rejecting yielded no reward but replenished 1 energy point. Costs remained fixed within blocks of four trials (segments), and participants were informed of both the current and the upcoming segment’s cost. Each trial was therefore defined by a combination of four task factors (offer value, energy level, current cost, and future cost), all of which must be integrated to maximize return. This makes the dataset well suited to test our prediction that participants combine forward planning with preferences reflecting the structure of the task.</w:t>
      </w:r>
    </w:p>
    <w:p>
      <w:pPr>
        <w:pStyle w:val="BodyText"/>
      </w:pPr>
      <w:r>
        <w:t xml:space="preserve">Performance indicates that participants were able to perform the task well. Participants provided responses with an average reaction time (RT) of 0.90s</w:t>
      </w:r>
      <w:r>
        <w:t xml:space="preserve"> </w:t>
      </w:r>
      <m:oMath>
        <m:r>
          <m:rPr>
            <m:sty m:val="p"/>
          </m:rPr>
          <m:t>±</m:t>
        </m:r>
      </m:oMath>
      <w:r>
        <w:t xml:space="preserve"> </w:t>
      </w:r>
      <w:r>
        <w:t xml:space="preserve">0.26 (s.d.) and failed to give their response before time out in only 0.27%</w:t>
      </w:r>
      <w:r>
        <w:t xml:space="preserve"> </w:t>
      </w:r>
      <m:oMath>
        <m:r>
          <m:rPr>
            <m:sty m:val="p"/>
          </m:rPr>
          <m:t>±</m:t>
        </m:r>
      </m:oMath>
      <w:r>
        <w:t xml:space="preserve"> </w:t>
      </w:r>
      <w:r>
        <w:t xml:space="preserve">0.56 (s.d.) out of 240 trials. On average, participants gathered a total of 332.43</w:t>
      </w:r>
      <w:r>
        <w:t xml:space="preserve"> </w:t>
      </w:r>
      <m:oMath>
        <m:r>
          <m:rPr>
            <m:sty m:val="p"/>
          </m:rPr>
          <m:t>±</m:t>
        </m:r>
      </m:oMath>
      <w:r>
        <w:t xml:space="preserve"> </w:t>
      </w:r>
      <w:r>
        <w:t xml:space="preserve">6.64 points throughout the experiment.</w:t>
      </w:r>
    </w:p>
    <w:tbl>
      <w:tblPr>
        <w:tblStyle w:val="Table"/>
        <w:tblW w:type="pct" w:w="5000"/>
        <w:tblLayout w:type="fixed"/>
        <w:tblLook w:firstRow="0" w:lastRow="0" w:firstColumn="0" w:lastColumn="0" w:noHBand="0" w:noVBand="0" w:val="0000"/>
      </w:tblPr>
      <w:tblGrid>
        <w:gridCol w:w="7920"/>
      </w:tblGrid>
      <w:tr>
        <w:tc>
          <w:tcPr/>
          <w:bookmarkStart w:id="13" w:name="fig-design"/>
          <w:p>
            <w:pPr>
              <w:pStyle w:val="Compact"/>
              <w:jc w:val="center"/>
            </w:pPr>
            <w:r>
              <w:drawing>
                <wp:inline>
                  <wp:extent cx="5025153" cy="3342010"/>
                  <wp:effectExtent b="0" l="0" r="0" t="0"/>
                  <wp:docPr descr="" title="" id="11" name="Picture"/>
                  <a:graphic>
                    <a:graphicData uri="http://schemas.openxmlformats.org/drawingml/2006/picture">
                      <pic:pic>
                        <pic:nvPicPr>
                          <pic:cNvPr descr="images/experimental_design.jpg" id="12" name="Picture"/>
                          <pic:cNvPicPr>
                            <a:picLocks noChangeArrowheads="1" noChangeAspect="1"/>
                          </pic:cNvPicPr>
                        </pic:nvPicPr>
                        <pic:blipFill>
                          <a:blip r:embed="rId10"/>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yellow bar represents accumulated reward so far, lightning symbols at the bottom right of each frame represent current cost (left) and future cost (right). (B) Between trial costs dependencies. A segment consists of 4 trials and the cost in each segment is fixed.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3"/>
        </w:tc>
      </w:tr>
    </w:tbl>
    <w:bookmarkStart w:id="26" w:name="choice-behavior"/>
    <w:p>
      <w:pPr>
        <w:pStyle w:val="Heading3"/>
      </w:pPr>
      <w:r>
        <w:t xml:space="preserve">2.1 Choice behavior</w:t>
      </w:r>
    </w:p>
    <w:p>
      <w:pPr>
        <w:pStyle w:val="FirstParagraph"/>
      </w:pPr>
      <w:r>
        <w:t xml:space="preserve">To test whether and how participants choice behavior deviates from optimal planning, we compared four Bayesian hierarchical logistic regression models of participants accept/reject choices. All models shared the same planning component: decision values (DV) obtained by backward induction on the task Markov Decision Process (MDP), reflecting the difference in long term value between accepting and rejecting an offer in each state under the optimal policy. The Planning model contained only DV as a regressor, testing whether deviations are unsystematic noise. The three other models differed in how they accounted for deviations from this benchmark. The Frequency-prior model assumed deviations reflect a recency bias towards recently chosen actions. The Offer-context model, previously found to account the best for the observed data among 21 competing models by</w:t>
      </w:r>
      <w:r>
        <w:t xml:space="preserve"> </w:t>
      </w:r>
      <w:r>
        <w:t xml:space="preserve">Ott et al. (2022a)</w:t>
      </w:r>
      <w:r>
        <w:t xml:space="preserve">, assumed that participants plan to different extents in extreme versus intermediate offers. Finally, the Preference model, impelementing our main hypothesis, combined the planning component with a state-dependent preference score, contructed by assigning weights to the levels of each task factor (offer, energy, current and future costs) and summing them, as well as a modulation term testing whether the influence of planning depends on the entropy of the preference score (see</w:t>
      </w:r>
      <w:r>
        <w:t xml:space="preserve"> </w:t>
      </w:r>
      <w:hyperlink w:anchor="sec-choice-behavior-modeling-method">
        <w:r>
          <w:rPr>
            <w:rStyle w:val="Hyperlink"/>
          </w:rPr>
          <w:t xml:space="preserve">Section 4.3</w:t>
        </w:r>
      </w:hyperlink>
      <w:r>
        <w:t xml:space="preserve"> </w:t>
      </w:r>
      <w:r>
        <w:t xml:space="preserve">for a full description of our modeling approach).</w:t>
      </w:r>
    </w:p>
    <w:p>
      <w:pPr>
        <w:pStyle w:val="BodyText"/>
      </w:pPr>
      <w:r>
        <w:t xml:space="preserve">Model comparison revealed that participants’ deviations from optimal forward planning were indeed systematic. Replicating</w:t>
      </w:r>
      <w:r>
        <w:t xml:space="preserve"> </w:t>
      </w:r>
      <w:r>
        <w:t xml:space="preserve">Ott et al. (2022a)</w:t>
      </w:r>
      <w:r>
        <w:t xml:space="preserve">, the Planning model provided the poorest fit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=586.28</w:t>
      </w:r>
      <w:r>
        <w:t xml:space="preserve"> </w:t>
      </w:r>
      <m:oMath>
        <m:r>
          <m:rPr>
            <m:sty m:val="p"/>
          </m:rPr>
          <m:t>±</m:t>
        </m:r>
      </m:oMath>
      <w:r>
        <w:t xml:space="preserve"> </w:t>
      </w:r>
      <w:r>
        <w:t xml:space="preserve">55.56 s.e., see</w:t>
      </w:r>
      <w:r>
        <w:t xml:space="preserve"> </w:t>
      </w:r>
      <w:hyperlink w:anchor="fig-choicemdl">
        <w:r>
          <w:rPr>
            <w:rStyle w:val="Hyperlink"/>
          </w:rPr>
          <w:t xml:space="preserve">Figure 2</w:t>
        </w:r>
      </w:hyperlink>
      <w:r>
        <w:t xml:space="preserve"> </w:t>
      </w:r>
      <w:r>
        <w:t xml:space="preserve">A), indicating that deviations from optimal behavior are not purely stochastic. Furthermore, our results indicate that participants’ biases do not reflect a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=581.38</w:t>
      </w:r>
      <w:r>
        <w:t xml:space="preserve"> </w:t>
      </w:r>
      <m:oMath>
        <m:r>
          <m:rPr>
            <m:sty m:val="p"/>
          </m:rPr>
          <m:t>±</m:t>
        </m:r>
      </m:oMath>
      <w:r>
        <w:t xml:space="preserve"> </w:t>
      </w:r>
      <w:r>
        <w:t xml:space="preserve">55.66),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=165.49</w:t>
      </w:r>
      <w:r>
        <w:t xml:space="preserve"> </w:t>
      </w:r>
      <m:oMath>
        <m:r>
          <m:rPr>
            <m:sty m:val="p"/>
          </m:rPr>
          <m:t>±</m:t>
        </m:r>
      </m:oMath>
      <w:r>
        <w:t xml:space="preserve"> </w:t>
      </w:r>
      <w:r>
        <w:t xml:space="preserve">52.62). Rather, participants exhibit preferences that reflect the task structure, as the Preference model provided the best fit (see</w:t>
      </w:r>
      <w:r>
        <w:t xml:space="preserve"> </w:t>
      </w:r>
      <w:hyperlink w:anchor="fig-choicemdl">
        <w:r>
          <w:rPr>
            <w:rStyle w:val="Hyperlink"/>
          </w:rPr>
          <w:t xml:space="preserve">Figure 2</w:t>
        </w:r>
      </w:hyperlink>
      <w:r>
        <w:t xml:space="preserve"> </w:t>
      </w:r>
      <w:r>
        <w:t xml:space="preserve">A).</w:t>
      </w:r>
    </w:p>
    <w:p>
      <w:pPr>
        <w:pStyle w:val="BodyText"/>
      </w:pPr>
      <w:r>
        <w:t xml:space="preserve">This result is highly consistent across participants: the preference model provided the best fit for 34 out of 40 participants (see</w:t>
      </w:r>
      <w:r>
        <w:t xml:space="preserve"> </w:t>
      </w:r>
      <w:hyperlink w:anchor="fig-choicemdl">
        <w:r>
          <w:rPr>
            <w:rStyle w:val="Hyperlink"/>
          </w:rPr>
          <w:t xml:space="preserve">Figure 2</w:t>
        </w:r>
      </w:hyperlink>
      <w:r>
        <w:t xml:space="preserve"> </w:t>
      </w:r>
      <w:r>
        <w:t xml:space="preserve">B). 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correct choice predictions separately for each model and offer values. Here, the data show that the proportion of matches is on average higher for the preference compared to all other models.</w:t>
      </w:r>
    </w:p>
    <w:p>
      <w:pPr>
        <w:pStyle w:val="BodyText"/>
      </w:pPr>
      <w:r>
        <w:t xml:space="preserve">The estimated factor-level preference weights associated with each task factor reveal structured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the posterior of each fitted parameter). Participants tend to reject low offers (1 and 2) more frequently than optimal forward planning would suggest, while they show a bias towards accepting high offers (3 and 4). These biases are stronger for extreme offers (1 and 4) compared to intermediate ones (2 and 3). The energy state also plays a critical role in shaping participants’ decisions. When energy is at maximum (e = 6), participants almost always accept offers, even when rejecting would be more reward-maximizing. This behavior is intuitive: rejecting offers at max energy does not yield additional energy, so participants prioritize immediate rewards, even at the expense of future rewards. In contrast, when energy is at 0, participants rarely accept offers, even though the planner predicts a small probability of acceptance (~0.25). This discrepancy arises because the planner calculates DV based on long-term returns, where the difference between accepting and rejecting at energy = 0 is negative but relatively small. However, participants adopt a stricter rejection policy, likely reflecting an aversion to accepting offers that yield no immediate reward.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exert a weaker influence on participants’ behavior, with a mild bias towards accepting offers when costs are low.</w:t>
      </w:r>
    </w:p>
    <w:tbl>
      <w:tblPr>
        <w:tblStyle w:val="Table"/>
        <w:tblW w:type="pct" w:w="5000"/>
        <w:tblLayout w:type="fixed"/>
        <w:tblLook w:firstRow="0" w:lastRow="0" w:firstColumn="0" w:lastColumn="0" w:noHBand="0" w:noVBand="0" w:val="0000"/>
      </w:tblPr>
      <w:tblGrid>
        <w:gridCol w:w="7920"/>
      </w:tblGrid>
      <w:tr>
        <w:tc>
          <w:tcPr/>
          <w:bookmarkStart w:id="17" w:name="fig-choicemdl"/>
          <w:p>
            <w:pPr>
              <w:pStyle w:val="Compact"/>
              <w:jc w:val="center"/>
            </w:pPr>
            <w:r>
              <w:drawing>
                <wp:inline>
                  <wp:extent cx="5334000" cy="6928402"/>
                  <wp:effectExtent b="0" l="0" r="0" t="0"/>
                  <wp:docPr descr="" title="" id="15" name="Picture"/>
                  <a:graphic>
                    <a:graphicData uri="http://schemas.openxmlformats.org/drawingml/2006/picture">
                      <pic:pic>
                        <pic:nvPicPr>
                          <pic:cNvPr descr="index_files/figure-docx/fig-choicemdl-output-2.png" id="16" name="Picture"/>
                          <pic:cNvPicPr>
                            <a:picLocks noChangeArrowheads="1" noChangeAspect="1"/>
                          </pic:cNvPicPr>
                        </pic:nvPicPr>
                        <pic:blipFill>
                          <a:blip r:embed="rId14"/>
                          <a:stretch>
                            <a:fillRect/>
                          </a:stretch>
                        </pic:blipFill>
                        <pic:spPr bwMode="auto">
                          <a:xfrm>
                            <a:off x="0" y="0"/>
                            <a:ext cx="5334000" cy="69284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Choice-model comparison and fitted factor-level preference weights (A) Model comparison showing the expected log pointwise predictive density (ELPD) for each model (Preference, Offer-context, Frequency-prior and Planning models). Values closer to 0 indicate better fit. See Table S1 for additional model comparisons results. (B) Participant-wise best-fitting models. Each participant is color-coded according to the model with the highest predictive accuracy. The Preference model provided the best fit for 34 of 40 participants. (C) Proportion of trials in which the model predicted responses match participants’ responses, separately for each model and offer level. Dots represent single participants modelled/observed match proportions. (D) Estimated factor-level preference weights for the Preference model. Panels show weights for offer levels, current and future cost, and energy levels. Distributions show the group-level posterior estimates; central bars indicate medians, and dotted lines indicate the 2.5% and 97.5% quantiles. Dots indicate participant-level mean estimates.</w:t>
            </w:r>
          </w:p>
          <w:bookmarkEnd w:id="17"/>
        </w:tc>
      </w:tr>
    </w:tbl>
    <w:p>
      <w:pPr>
        <w:pStyle w:val="BodyText"/>
      </w:pPr>
      <w:r>
        <w:t xml:space="preserve">We then proceeded to test the central prediction that the influence of forward planning should depend on preference uncertainty, quantified as the entropy of the action tendency implied by the preference score. The Preference model revealed a positive modulation of forward planning by preference entropy (</w:t>
      </w:r>
      <m:oMath>
        <m:sSub>
          <m:e>
            <m:r>
              <m:t>β</m:t>
            </m:r>
          </m:e>
          <m:sub>
            <m:r>
              <m:t>m</m:t>
            </m:r>
            <m:r>
              <m:t>o</m:t>
            </m:r>
            <m:r>
              <m:t>d</m:t>
            </m:r>
            <m:r>
              <m:t>u</m:t>
            </m:r>
            <m:r>
              <m:t>l</m:t>
            </m:r>
            <m:r>
              <m:t>a</m:t>
            </m:r>
            <m:r>
              <m:t>t</m:t>
            </m:r>
            <m:r>
              <m:t>i</m:t>
            </m:r>
            <m:r>
              <m:t>o</m:t>
            </m:r>
            <m:r>
              <m:t>n</m:t>
            </m:r>
          </m:sub>
        </m:sSub>
      </m:oMath>
      <w:r>
        <w:t xml:space="preserve">=1.26,</w:t>
      </w:r>
      <w:r>
        <w:t xml:space="preserve"> </w:t>
      </w:r>
      <m:oMath>
        <m:r>
          <m:t>C</m:t>
        </m:r>
        <m:sSub>
          <m:e>
            <m:r>
              <m:t>I</m:t>
            </m:r>
          </m:e>
          <m:sub>
            <m:r>
              <m:t>95</m:t>
            </m:r>
            <m:r>
              <m:rPr>
                <m:sty m:val="p"/>
              </m:rPr>
              <m:t>%</m:t>
            </m:r>
          </m:sub>
        </m:sSub>
      </m:oMath>
      <w:r>
        <w:t xml:space="preserve">=[0.31, 2.29]), indicating that planning-derived DV had a stronger influence on choices when preferences were more uncertain. Conversely, when preference had lower entropy, choices were less influenced by planning-derived DV and were more strongly guided by the preference score.</w:t>
      </w:r>
    </w:p>
    <w:p>
      <w:pPr>
        <w:pStyle w:val="BodyText"/>
      </w:pPr>
      <w:r>
        <w:t xml:space="preserve">This modulation is illustrated in</w:t>
      </w:r>
      <w:r>
        <w:t xml:space="preserve"> </w:t>
      </w:r>
      <w:hyperlink w:anchor="fig-pref-planning-interaction">
        <w:r>
          <w:rPr>
            <w:rStyle w:val="Hyperlink"/>
          </w:rPr>
          <w:t xml:space="preserve">Figure 3</w:t>
        </w:r>
      </w:hyperlink>
      <w:r>
        <w:t xml:space="preserve"> </w:t>
      </w:r>
      <w:r>
        <w:t xml:space="preserve">A, where we plotted the fitted probability of accepting as a function of planning-derived DV for different preference scores. Reflecting the main effect of preference score, the logistic curve shifted leftward as the preference score increased. Thus, when preference score favored accepting participants required lower DV to accept an offer. Conversely, when preference score favored rejecting, higher planning-derived DV were required to overcome this preference and lead to acceptance. Reflecting the modulation of preference entropy on DV, the slope of the curve decreases as the preference score deviates further from zero (in either direction) reflecting reduced reliance on forward planning as preferences’ uncertainty decreases.</w:t>
      </w:r>
      <w:r>
        <w:t xml:space="preserve"> </w:t>
      </w:r>
      <w:hyperlink w:anchor="fig-pref-planning-interaction">
        <w:r>
          <w:rPr>
            <w:rStyle w:val="Hyperlink"/>
          </w:rPr>
          <w:t xml:space="preserve">Figure 3</w:t>
        </w:r>
      </w:hyperlink>
      <w:r>
        <w:t xml:space="preserve"> </w:t>
      </w:r>
      <w:r>
        <w:t xml:space="preserve">B and C show the observed probability of accepting an offer as a function of DV, separately when preference scores were positive (</w:t>
      </w:r>
      <w:hyperlink w:anchor="fig-pref-planning-interaction">
        <w:r>
          <w:rPr>
            <w:rStyle w:val="Hyperlink"/>
          </w:rPr>
          <w:t xml:space="preserve">Figure 3</w:t>
        </w:r>
      </w:hyperlink>
      <w:r>
        <w:t xml:space="preserve"> </w:t>
      </w:r>
      <w:r>
        <w:t xml:space="preserve">B) and negative (</w:t>
      </w:r>
      <w:hyperlink w:anchor="fig-pref-planning-interaction">
        <w:r>
          <w:rPr>
            <w:rStyle w:val="Hyperlink"/>
          </w:rPr>
          <w:t xml:space="preserve">Figure 3</w:t>
        </w:r>
      </w:hyperlink>
      <w:r>
        <w:t xml:space="preserve"> </w:t>
      </w:r>
      <w:r>
        <w:t xml:space="preserve">C). This further shows the effect of preferences on participants’ response choice: participants accept an offer at lower DV when preference scores are positive than when preference scores are negative (see</w:t>
      </w:r>
      <w:r>
        <w:t xml:space="preserve"> </w:t>
      </w:r>
      <w:hyperlink w:anchor="suppfig-pref-planning-interaction">
        <w:r>
          <w:rPr>
            <w:rStyle w:val="Hyperlink"/>
          </w:rPr>
          <w:t xml:space="preserve">Figure S1</w:t>
        </w:r>
      </w:hyperlink>
      <w:r>
        <w:t xml:space="preserve"> </w:t>
      </w:r>
      <w:r>
        <w:t xml:space="preserve">for unbinned participants’ responses and fitted values as a function of DV and preference score).</w:t>
      </w:r>
    </w:p>
    <w:tbl>
      <w:tblPr>
        <w:tblStyle w:val="Table"/>
        <w:tblW w:type="pct" w:w="5000"/>
        <w:tblLayout w:type="fixed"/>
        <w:tblLook w:firstRow="0" w:lastRow="0" w:firstColumn="0" w:lastColumn="0" w:noHBand="0" w:noVBand="0" w:val="0000"/>
      </w:tblPr>
      <w:tblGrid>
        <w:gridCol w:w="7920"/>
      </w:tblGrid>
      <w:tr>
        <w:tc>
          <w:tcPr/>
          <w:bookmarkStart w:id="21" w:name="fig-pref-planning-interaction"/>
          <w:p>
            <w:pPr>
              <w:pStyle w:val="Compact"/>
              <w:jc w:val="center"/>
            </w:pPr>
            <w:r>
              <w:drawing>
                <wp:inline>
                  <wp:extent cx="5334000" cy="7013088"/>
                  <wp:effectExtent b="0" l="0" r="0" t="0"/>
                  <wp:docPr descr="" title="" id="19" name="Picture"/>
                  <a:graphic>
                    <a:graphicData uri="http://schemas.openxmlformats.org/drawingml/2006/picture">
                      <pic:pic>
                        <pic:nvPicPr>
                          <pic:cNvPr descr="index_files/figure-docx/fig-pref-planning-interaction-output-1.png" id="20" name="Picture"/>
                          <pic:cNvPicPr>
                            <a:picLocks noChangeArrowheads="1" noChangeAspect="1"/>
                          </pic:cNvPicPr>
                        </pic:nvPicPr>
                        <pic:blipFill>
                          <a:blip r:embed="rId18"/>
                          <a:stretch>
                            <a:fillRect/>
                          </a:stretch>
                        </pic:blipFill>
                        <pic:spPr bwMode="auto">
                          <a:xfrm>
                            <a:off x="0" y="0"/>
                            <a:ext cx="5334000" cy="7013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 score and DV. (A) Fitted probability of accepting an offer as a function of DV, separately for preference score of [-4, -2, -1, 0, 1, 2, 4], to highlight the modulation of preference scores on the influence of DV. Lines represent the mean of the posterior distribution; the shaded area is the 95% C.I. (B) Offer acceptance probability (y-axis) binned per DV (x-axis), for trials in which preference score is positive. (C) Same as (B), but for trials in which preference score is negative. Only bins containing observed trials are shown; the different number of bars in panels B and C reflects the unequal distribution of positive- and negative-preference trials across the planning-DV range. This asymmetry arises because negative preference scores are more often associated with states in which forward planning also favors rejection.</w:t>
            </w:r>
          </w:p>
          <w:bookmarkEnd w:id="21"/>
        </w:tc>
      </w:tr>
    </w:tbl>
    <w:p>
      <w:pPr>
        <w:pStyle w:val="BodyText"/>
      </w:pPr>
      <w:r>
        <w:t xml:space="preserve">We next asked whether the fitted forward planning and preference-related quantities were relevant not only for predicting trial-by-trial choices, but also for explaining individual differences in overall task performance. Specifically, we tested whether overall task performance was related to participants’ reliance on forward planning, their preference entropy, and the extent to which preference uncertainty modulated forward planning. As larger</w:t>
      </w:r>
      <w:r>
        <w:t xml:space="preserve"> </w:t>
      </w:r>
      <m:oMath>
        <m:sSub>
          <m:e>
            <m:r>
              <m:t>β</m:t>
            </m:r>
          </m:e>
          <m:sub>
            <m:r>
              <m:t>p</m:t>
            </m:r>
            <m:r>
              <m:t>l</m:t>
            </m:r>
            <m:r>
              <m:t>a</m:t>
            </m:r>
            <m:r>
              <m:t>n</m:t>
            </m:r>
          </m:sub>
        </m:sSub>
      </m:oMath>
      <w:r>
        <w:t xml:space="preserve"> </w:t>
      </w:r>
      <w:r>
        <w:t xml:space="preserve">values indicate stronger reliance on forward planning, we expected participants with larger</w:t>
      </w:r>
      <w:r>
        <w:t xml:space="preserve"> </w:t>
      </w:r>
      <m:oMath>
        <m:sSub>
          <m:e>
            <m:r>
              <m:t>β</m:t>
            </m:r>
          </m:e>
          <m:sub>
            <m:r>
              <m:t>p</m:t>
            </m:r>
            <m:r>
              <m:t>l</m:t>
            </m:r>
            <m:r>
              <m:t>a</m:t>
            </m:r>
            <m:r>
              <m:t>n</m:t>
            </m:r>
          </m:sub>
        </m:sSub>
      </m:oMath>
      <w:r>
        <w:t xml:space="preserve"> </w:t>
      </w:r>
      <w:r>
        <w:t xml:space="preserve">to obtain higher returns. In contrast to forward planning, preferences might not necessarily maximize reward, so participants with  lower preferences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forward planning when their preferences are weak. Accordingly, we predicted that</w:t>
      </w:r>
      <w:r>
        <w:t xml:space="preserve"> </w:t>
      </w:r>
      <m:oMath>
        <m:sSub>
          <m:e>
            <m:r>
              <m:t>β</m:t>
            </m:r>
          </m:e>
          <m:sub>
            <m:r>
              <m:t>p</m:t>
            </m:r>
            <m:r>
              <m:t>l</m:t>
            </m:r>
            <m:r>
              <m:t>a</m:t>
            </m:r>
            <m:r>
              <m:t>n</m:t>
            </m:r>
          </m:sub>
        </m:sSub>
      </m:oMath>
      <w:r>
        <w:t xml:space="preserve">, preference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these predictions, we observed a positive correlation between</w:t>
      </w:r>
      <w:r>
        <w:t xml:space="preserve"> </w:t>
      </w:r>
      <m:oMath>
        <m:sSub>
          <m:e>
            <m:r>
              <m:t>β</m:t>
            </m:r>
          </m:e>
          <m:sub>
            <m:r>
              <m:t>p</m:t>
            </m:r>
            <m:r>
              <m:t>l</m:t>
            </m:r>
            <m:r>
              <m:t>a</m:t>
            </m:r>
            <m:r>
              <m:t>n</m:t>
            </m:r>
          </m:sub>
        </m:sSub>
      </m:oMath>
      <w:r>
        <w:t xml:space="preserve"> </w:t>
      </w:r>
      <w:r>
        <w:t xml:space="preserve">and return (r=0.58, p&lt;0.001,</w:t>
      </w:r>
      <w:r>
        <w:t xml:space="preserve"> </w:t>
      </w:r>
      <w:hyperlink w:anchor="fig-returns">
        <w:r>
          <w:rPr>
            <w:rStyle w:val="Hyperlink"/>
          </w:rPr>
          <w:t xml:space="preserve">Figure 4</w:t>
        </w:r>
      </w:hyperlink>
      <w:r>
        <w:t xml:space="preserve"> </w:t>
      </w:r>
      <w:r>
        <w:t xml:space="preserve">A), showing that participants who rely more on forward planning get larger returns.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p&lt;0.001,</w:t>
      </w:r>
      <w:r>
        <w:t xml:space="preserve"> </w:t>
      </w:r>
      <w:hyperlink w:anchor="fig-returns">
        <w:r>
          <w:rPr>
            <w:rStyle w:val="Hyperlink"/>
          </w:rPr>
          <w:t xml:space="preserve">Figure 4</w:t>
        </w:r>
      </w:hyperlink>
      <w:r>
        <w:t xml:space="preserve"> </w:t>
      </w:r>
      <w:r>
        <w:t xml:space="preserve">C). However, contrary to our prediction, we observed a negative though only marginally significant correlation between preference entropy and return (r=-0.29, p=0.072,</w:t>
      </w:r>
      <w:r>
        <w:t xml:space="preserve"> </w:t>
      </w:r>
      <w:hyperlink w:anchor="fig-returns">
        <w:r>
          <w:rPr>
            <w:rStyle w:val="Hyperlink"/>
          </w:rPr>
          <w:t xml:space="preserve">Figure 4</w:t>
        </w:r>
      </w:hyperlink>
      <w:r>
        <w:t xml:space="preserve"> </w:t>
      </w:r>
      <w:r>
        <w:t xml:space="preserve">B). Visual inspection of</w:t>
      </w:r>
      <w:r>
        <w:t xml:space="preserve"> </w:t>
      </w:r>
      <w:hyperlink w:anchor="fig-returns">
        <w:r>
          <w:rPr>
            <w:rStyle w:val="Hyperlink"/>
          </w:rPr>
          <w:t xml:space="preserve">Figure 4</w:t>
        </w:r>
      </w:hyperlink>
      <w:r>
        <w:t xml:space="preserve"> </w:t>
      </w:r>
      <w:r>
        <w:t xml:space="preserve">B revealed that the correlation appears to be driven from the participant with very low return (2.63 s.d. from population mean). When removing this participant, the correlation between preference entropy and return is not marginally significant (r=-0.09, p=0.596), while it remains strongly significant for forward planning (r=0.47, p=0.003) and modulation (r=0.60, p&lt;0.001) when the same subject is removed.</w:t>
      </w:r>
    </w:p>
    <w:tbl>
      <w:tblPr>
        <w:tblStyle w:val="Table"/>
        <w:tblW w:type="pct" w:w="5000"/>
        <w:tblLayout w:type="fixed"/>
        <w:tblLook w:firstRow="0" w:lastRow="0" w:firstColumn="0" w:lastColumn="0" w:noHBand="0" w:noVBand="0" w:val="0000"/>
      </w:tblPr>
      <w:tblGrid>
        <w:gridCol w:w="7920"/>
      </w:tblGrid>
      <w:tr>
        <w:tc>
          <w:tcPr/>
          <w:bookmarkStart w:id="25" w:name="fig-returns"/>
          <w:p>
            <w:pPr>
              <w:pStyle w:val="Compact"/>
              <w:jc w:val="center"/>
            </w:pPr>
            <w:r>
              <w:drawing>
                <wp:inline>
                  <wp:extent cx="5334000" cy="2224915"/>
                  <wp:effectExtent b="0" l="0" r="0" t="0"/>
                  <wp:docPr descr="" title="" id="23" name="Picture"/>
                  <a:graphic>
                    <a:graphicData uri="http://schemas.openxmlformats.org/drawingml/2006/picture">
                      <pic:pic>
                        <pic:nvPicPr>
                          <pic:cNvPr descr="index_files/figure-docx/fig-returns-output-1.png" id="24" name="Picture"/>
                          <pic:cNvPicPr>
                            <a:picLocks noChangeArrowheads="1" noChangeAspect="1"/>
                          </pic:cNvPicPr>
                        </pic:nvPicPr>
                        <pic:blipFill>
                          <a:blip r:embed="rId22"/>
                          <a:stretch>
                            <a:fillRect/>
                          </a:stretch>
                        </pic:blipFill>
                        <pic:spPr bwMode="auto">
                          <a:xfrm>
                            <a:off x="0" y="0"/>
                            <a:ext cx="5334000" cy="222491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Relationship between fitted parameters and task performance (A) Correlation between participants’ total return and their fitted forward planning sensitivity</w:t>
            </w:r>
            <w:r>
              <w:t xml:space="preserve"> </w:t>
            </w:r>
            <m:oMath>
              <m:sSub>
                <m:e>
                  <m:r>
                    <m:t>β</m:t>
                  </m:r>
                </m:e>
                <m:sub>
                  <m:r>
                    <m:t>p</m:t>
                  </m:r>
                  <m:r>
                    <m:t>l</m:t>
                  </m:r>
                  <m:r>
                    <m:t>a</m:t>
                  </m:r>
                  <m:r>
                    <m:t>n</m:t>
                  </m:r>
                </m:sub>
              </m:sSub>
            </m:oMath>
            <w:r>
              <w:t xml:space="preserve"> </w:t>
            </w:r>
            <w:r>
              <w:t xml:space="preserve">parameter. Each dot represents one participant. The line shows an ordinary least-squares regression fit, where the legend reports Pearson’s correlation and the corresponding p-value. (B) Correlation between participants’ total return and their average preference entropy. Plotting conventions are the same as in (A). (C) Correlation between participants’ total return and the fitted preference-modulation parameter</w:t>
            </w:r>
            <w:r>
              <w:t xml:space="preserve"> </w:t>
            </w:r>
            <m:oMath>
              <m:sSub>
                <m:e>
                  <m:r>
                    <m:t>β</m:t>
                  </m:r>
                </m:e>
                <m:sub>
                  <m:r>
                    <m:t>m</m:t>
                  </m:r>
                  <m:r>
                    <m:t>o</m:t>
                  </m:r>
                  <m:r>
                    <m:t>d</m:t>
                  </m:r>
                  <m:r>
                    <m:t>u</m:t>
                  </m:r>
                  <m:r>
                    <m:t>l</m:t>
                  </m:r>
                  <m:r>
                    <m:t>a</m:t>
                  </m:r>
                  <m:r>
                    <m:t>t</m:t>
                  </m:r>
                  <m:r>
                    <m:t>i</m:t>
                  </m:r>
                  <m:r>
                    <m:t>o</m:t>
                  </m:r>
                  <m:r>
                    <m:t>n</m:t>
                  </m:r>
                </m:sub>
              </m:sSub>
            </m:oMath>
            <w:r>
              <w:t xml:space="preserve">. Plotting conventions are the same as in (A).</w:t>
            </w:r>
          </w:p>
          <w:bookmarkEnd w:id="25"/>
        </w:tc>
      </w:tr>
    </w:tbl>
    <w:bookmarkEnd w:id="26"/>
    <w:bookmarkStart w:id="31" w:name="experimental-factors-relevance"/>
    <w:p>
      <w:pPr>
        <w:pStyle w:val="Heading3"/>
      </w:pPr>
      <w:r>
        <w:t xml:space="preserve">2.2 Experimental factors relevance</w:t>
      </w:r>
    </w:p>
    <w:p>
      <w:pPr>
        <w:pStyle w:val="FirstParagraph"/>
      </w:pPr>
      <w:r>
        <w:t xml:space="preserve">Our results indicate that participants’ choices are shaped by two sources of information: planning-derived values and task-specific preference scores. These preference scores are not a single global bias. Instead, under the Preference model, state-dependent preferences reflect a trial-wise weighted sum of preferences associated with different factors of the task such as the offer, the current cost context, and upcoming transitions.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 scores compared to costs (both current and future). The fitted factor-level preference weights already suggested that participants’ preference scores were structured primarily by offer value and energy. We further confirmed this pattern from a complementary model-comparison perspective. To do so, we compared the full Preference model with reduced models in which the factor-level preference was removed for one task factor at a time (see</w:t>
      </w:r>
      <w:r>
        <w:t xml:space="preserve"> </w:t>
      </w:r>
      <w:hyperlink w:anchor="sec-factor-relevance-analysis">
        <w:r>
          <w:rPr>
            <w:rStyle w:val="Hyperlink"/>
          </w:rPr>
          <w:t xml:space="preserve">Section 4.5</w:t>
        </w:r>
      </w:hyperlink>
      <w:r>
        <w:t xml:space="preserve"> </w:t>
      </w:r>
      <w:r>
        <w:t xml:space="preserve">for a description). This effectively tests how decision-making changes when participants are assumed to ignore one specific source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shows the change in model fit when each preference factor was removed separately from the full preference model. Each reduced model omitted the preference term for one experimental factor while retaining the remaining preference terms. Larger values indicate that the specific factor is more relevant for the full model’s fit. We found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=137.36</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=133.97</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=47.02</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=27.35</w:t>
      </w:r>
      <w:r>
        <w:t xml:space="preserve"> </w:t>
      </w:r>
      <m:oMath>
        <m:r>
          <m:rPr>
            <m:sty m:val="p"/>
          </m:rPr>
          <m:t>±</m:t>
        </m:r>
      </m:oMath>
      <w:r>
        <w:t xml:space="preserve"> </w:t>
      </w:r>
      <w:r>
        <w:t xml:space="preserve">48.62 s.e.).</w:t>
      </w:r>
    </w:p>
    <w:tbl>
      <w:tblPr>
        <w:tblStyle w:val="Table"/>
        <w:tblW w:type="pct" w:w="5000"/>
        <w:tblLayout w:type="fixed"/>
        <w:tblLook w:firstRow="0" w:lastRow="0" w:firstColumn="0" w:lastColumn="0" w:noHBand="0" w:noVBand="0" w:val="0000"/>
      </w:tblPr>
      <w:tblGrid>
        <w:gridCol w:w="7920"/>
      </w:tblGrid>
      <w:tr>
        <w:tc>
          <w:tcPr/>
          <w:bookmarkStart w:id="30" w:name="fig-task-features"/>
          <w:p>
            <w:pPr>
              <w:pStyle w:val="Compact"/>
              <w:jc w:val="center"/>
            </w:pPr>
            <w:r>
              <w:drawing>
                <wp:inline>
                  <wp:extent cx="5334000" cy="4439174"/>
                  <wp:effectExtent b="0" l="0" r="0" t="0"/>
                  <wp:docPr descr="" title="" id="28" name="Picture"/>
                  <a:graphic>
                    <a:graphicData uri="http://schemas.openxmlformats.org/drawingml/2006/picture">
                      <pic:pic>
                        <pic:nvPicPr>
                          <pic:cNvPr descr="index_files/figure-docx/fig-task-features-output-2.png" id="29" name="Picture"/>
                          <pic:cNvPicPr>
                            <a:picLocks noChangeArrowheads="1" noChangeAspect="1"/>
                          </pic:cNvPicPr>
                        </pic:nvPicPr>
                        <pic:blipFill>
                          <a:blip r:embed="rId27"/>
                          <a:stretch>
                            <a:fillRect/>
                          </a:stretch>
                        </pic:blipFill>
                        <pic:spPr bwMode="auto">
                          <a:xfrm>
                            <a:off x="0" y="0"/>
                            <a:ext cx="5334000" cy="443917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Contribution of task factors to preference-based choice and performance. (A) Predictive contribution of individual preference factors. Difference in fit between the full Preference model and models in which each of the experimental factors was removed from preference score estimations in turn. Bars show ΔELPD, computed as the ELPD of the full model minus the ELPD of the corresponding reduced model. Values closer to 0 indicate that a factor does not lead to a strong improvement of the model fit (i.e. the factor weighs less in participants’ final decision). (B) Loss in return by ignoring individual task factors during forward planning (0 indicates no loss compared to the return under the optimal policy derived from the full MDP). Bars show the reward sensitivity of each task factor: larger values indicate that the omitted factor was more important for reward-maximizing planning. (C) Return loss of policies derived from the preference score of the full and reduced Preference models, in which the preference terms for one task factor were omitted in turn. For each model (full and reduced), we derived a policy from the preference score alone and calculated the expected return under such a policy, relative to the optimal policy. The y-axis represents the loss in relative return; 0 indicates that a preference policy performs exactly as well as the optimal policy. The horizonal dashed line represents the return associated with a fully stochastic policy (i.e. equal probability of each action in each state). (D) Per factor-levels accept tendencies in the fitted preferences and in the optimal policy. For each level of each task factor, we calculated the accept tendency implied by the fitted factor-level preference weight and the average accept tendency of the optimal policy in states containing that feature level, after averaging over all other task factors. Similar profiles indicate that participants’ preferences capture task regularities present in the optimal policy; deviations indicate feature-specific biases.</w:t>
            </w:r>
          </w:p>
          <w:bookmarkEnd w:id="30"/>
        </w:tc>
      </w:tr>
    </w:tbl>
    <w:p>
      <w:pPr>
        <w:pStyle w:val="BodyText"/>
      </w:pPr>
      <w:r>
        <w:t xml:space="preserve">We further sought to determine whether the fitted preferences could serve as adaptive biases when forward planning is absent. As a first step, we quantified how strongly optimal return depends on each task factor. To do so, we derived policies from reduced forward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see</w:t>
      </w:r>
      <w:r>
        <w:t xml:space="preserve"> </w:t>
      </w:r>
      <w:hyperlink w:anchor="sec-factor-relevance-analysis">
        <w:r>
          <w:rPr>
            <w:rStyle w:val="Hyperlink"/>
          </w:rPr>
          <w:t xml:space="preserve">Section 4.5</w:t>
        </w:r>
      </w:hyperlink>
      <w:r>
        <w:t xml:space="preserve"> </w:t>
      </w:r>
      <w:r>
        <w:t xml:space="preserve">for more details).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forward planning is highly sensitive to energy. This large loss reflects the structure of the task. A policy that ignores energy cannot adapt choices to the current energy budget. As a result, it can deplete energy in low-energy states as its behavior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by the forward planning component, so removing energy-related preference terms has a smaller effect on model fit than its relevance for optimal return would suggest.</w:t>
      </w:r>
    </w:p>
    <w:p>
      <w:pPr>
        <w:pStyle w:val="BodyText"/>
      </w:pPr>
      <w:r>
        <w:t xml:space="preserve">Further, we asked whether the fitted preferences could support adaptive choice when forward planning is absent. If preferences capture useful task structure, policies derived from the preference score alone should be suboptimal but still produce less return loss than a stochastic policy. In addition, removing task factors that strongly shape participants’ preferences should reduce the return of these preference policies. To quantify this, we computed the expected return loss of policies derived from the preference score alone (see</w:t>
      </w:r>
      <w:r>
        <w:t xml:space="preserve"> </w:t>
      </w:r>
      <w:hyperlink w:anchor="sec-factor-relevance-analysis">
        <w:r>
          <w:rPr>
            <w:rStyle w:val="Hyperlink"/>
          </w:rPr>
          <w:t xml:space="preserve">Section 4.5</w:t>
        </w:r>
      </w:hyperlink>
      <w:r>
        <w:t xml:space="preserve">). The full preference policy produced a return loss of 28.34%, indicating that preferences did not fully replace forward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(dashed line), showing that the fitted preferences captured task structure that was relevant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 making the agent more likely to run out of energy than under a stochastic policy.</w:t>
      </w:r>
    </w:p>
    <w:p>
      <w:pPr>
        <w:pStyle w:val="BodyText"/>
      </w:pPr>
      <w:r>
        <w:t xml:space="preserve">Together, these results suggest that participants’ preferences were not arbitrary biases, but adaptive approximations to optimal choice. They supported relatively good performance even in the absence of forward planning (loss of 28.34% from optimal returns) and provide a useful first-pass policy that can support good performance when forward planning is limited but can be further refined by planning-derived DV when more computation is available.</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(for example, how often should an offer of 1 be accepted, across all energy and costs levels).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factor-level preferences parameters side-by-side with the marginal action probability, showing that participants’ preferences reflect relatively closely the factor-level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a tendency to accept offers more often than participants should). This optimistic bias might be afforded by the gain in energy associated with the tendency to reject low offers. Nonetheless, the overall similarities between both variables suggest that these marginal action tendencies may have contributed to the formation of participants’ task structured preferences.</w:t>
      </w:r>
    </w:p>
    <w:bookmarkEnd w:id="31"/>
    <w:bookmarkStart w:id="36" w:name="reaction-times"/>
    <w:p>
      <w:pPr>
        <w:pStyle w:val="Heading3"/>
      </w:pPr>
      <w:r>
        <w:t xml:space="preserve">2.3 Reaction times</w:t>
      </w:r>
    </w:p>
    <w:p>
      <w:pPr>
        <w:pStyle w:val="FirstParagraph"/>
      </w:pPr>
      <w:r>
        <w:t xml:space="preserve">Under the proposed hypothesis, participants’ reliance on forward planning should depend on preference entropy. Low preferences entropy should reduce the need for forward planning and therefore lead to faster responses, whereas high preferences entropy should increase reliance on forward planning and thereby lead to slower responses. Previous studies have shown that RT is positively correlated with forward planning conflict, indicating that less forward planning is required when the value associated with each action is more clearly distinct</w:t>
      </w:r>
      <w:r>
        <w:t xml:space="preserve"> </w:t>
      </w:r>
      <w:r>
        <w:t xml:space="preserve">(Ott et al. 2022a; Gluth et al. 2012; Lee and Daunizeau 2021)</w:t>
      </w:r>
      <w:r>
        <w:t xml:space="preserve">. We therefore expected preference scores to attenuate the effect of forward planning conflict on RT: when participants’ preferences provide a clear action tendency, forward planning conflict should have a weaker influence on response times. To test this prediction, we modelled participants RT using the absolute decision value (referred to as decision conflict), as well as the preference score estimated from the choice behavior model, and the interaction between the two (see</w:t>
      </w:r>
      <w:r>
        <w:t xml:space="preserve"> </w:t>
      </w:r>
      <w:hyperlink w:anchor="sec-RT-model-method">
        <w:r>
          <w:rPr>
            <w:rStyle w:val="Hyperlink"/>
          </w:rPr>
          <w:t xml:space="preserve">Section 4.6</w:t>
        </w:r>
      </w:hyperlink>
      <w:r>
        <w:t xml:space="preserve"> </w:t>
      </w:r>
      <w:r>
        <w:t xml:space="preserve">for a description of the model).</w:t>
      </w:r>
    </w:p>
    <w:p>
      <w:pPr>
        <w:pStyle w:val="BodyText"/>
      </w:pPr>
      <w:r>
        <w:t xml:space="preserve">Indeed, we found that participants’ RT was influenced by (i) forward planning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0.14]), (ii) preference entropy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=[0.35, 0.54]) and (iii) the modulation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0.15], see</w:t>
      </w:r>
      <w:r>
        <w:t xml:space="preserve"> </w:t>
      </w:r>
      <w:hyperlink w:anchor="fig-rt">
        <w:r>
          <w:rPr>
            <w:rStyle w:val="Hyperlink"/>
          </w:rPr>
          <w:t xml:space="preserve">Figure 6</w:t>
        </w:r>
      </w:hyperlink>
      <w:r>
        <w:t xml:space="preserve"> </w:t>
      </w:r>
      <w:r>
        <w:t xml:space="preserve">A). This result extends previous findings showing that participants do not rely on forward planning to the same extent across all states of the task. Our results suggest that rather than splitting the task in independent contexts and engaging in forward planning to a different extent across those [ott2022forward], the differential amount of forward planning across states instead reflects the fact that participants engage in forward planning more when preferences are weak. Specifically, as can be seen in</w:t>
      </w:r>
      <w:r>
        <w:t xml:space="preserve"> </w:t>
      </w:r>
      <w:hyperlink w:anchor="fig-rt">
        <w:r>
          <w:rPr>
            <w:rStyle w:val="Hyperlink"/>
          </w:rPr>
          <w:t xml:space="preserve">Figure 6</w:t>
        </w:r>
      </w:hyperlink>
      <w:r>
        <w:t xml:space="preserve"> </w:t>
      </w:r>
      <w:r>
        <w:t xml:space="preserve">B, forward planning depends less on forward planning conflict when preferences entropy is low (blue line), but more so when preferences entropy is larger (orange and green lines).</w:t>
      </w:r>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0.14]), (ii) entropy of preference score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=[0.35, 0.54]) and (iii) the modulatory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0.15],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fact that participants engage in planning more when preferences are weak. The positive modulatory effect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Together, these response-time results converge with the choice-model findings. Participants were slowest when planning-derived DV were in conflict, and task-specific preferences had high entropy, indicating stronger reliance on forward planning under preference uncertainty (green line). Conversely, when preferences provided a clear action tendency, forward planning conflict had a weaker effect on response times (blue line), suggesting reduced reliance on planning-derived values.</w:t>
      </w:r>
    </w:p>
    <w:tbl>
      <w:tblPr>
        <w:tblStyle w:val="Table"/>
        <w:tblW w:type="pct" w:w="5000"/>
        <w:tblLayout w:type="fixed"/>
        <w:tblLook w:firstRow="0" w:lastRow="0" w:firstColumn="0" w:lastColumn="0" w:noHBand="0" w:noVBand="0" w:val="0000"/>
      </w:tblPr>
      <w:tblGrid>
        <w:gridCol w:w="7920"/>
      </w:tblGrid>
      <w:tr>
        <w:tc>
          <w:tcPr/>
          <w:bookmarkStart w:id="35" w:name="fig-rt"/>
          <w:p>
            <w:pPr>
              <w:pStyle w:val="Compact"/>
              <w:jc w:val="center"/>
            </w:pPr>
            <w:r>
              <w:drawing>
                <wp:inline>
                  <wp:extent cx="5334000" cy="3061440"/>
                  <wp:effectExtent b="0" l="0" r="0" t="0"/>
                  <wp:docPr descr="" title="" id="33" name="Picture"/>
                  <a:graphic>
                    <a:graphicData uri="http://schemas.openxmlformats.org/drawingml/2006/picture">
                      <pic:pic>
                        <pic:nvPicPr>
                          <pic:cNvPr descr="index_files/figure-docx/fig-rt-output-2.png" id="34" name="Picture"/>
                          <pic:cNvPicPr>
                            <a:picLocks noChangeArrowheads="1" noChangeAspect="1"/>
                          </pic:cNvPicPr>
                        </pic:nvPicPr>
                        <pic:blipFill>
                          <a:blip r:embed="rId32"/>
                          <a:stretch>
                            <a:fillRect/>
                          </a:stretch>
                        </pic:blipFill>
                        <pic:spPr bwMode="auto">
                          <a:xfrm>
                            <a:off x="0" y="0"/>
                            <a:ext cx="5334000" cy="306144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RT evidence for preference-modulated forward planning. (A) Posterior distributions of the fitted response-time effects, including forward planning conflict, preference entropy, and their interaction. (B) Posterior predictive curves depicting the predicted RT as a function of forward planning conflict, separately for preference entropy of 0, 0.5 and 1.0.</w:t>
            </w:r>
          </w:p>
          <w:bookmarkEnd w:id="35"/>
        </w:tc>
      </w:tr>
    </w:tbl>
    <w:bookmarkEnd w:id="36"/>
    <w:bookmarkEnd w:id="37"/>
    <w:bookmarkStart w:id="38" w:name="discussion"/>
    <w:p>
      <w:pPr>
        <w:pStyle w:val="Heading2"/>
      </w:pPr>
      <w:r>
        <w:t xml:space="preserve">3 Discussion</w:t>
      </w:r>
    </w:p>
    <w:p>
      <w:pPr>
        <w:pStyle w:val="FirstParagraph"/>
      </w:pPr>
      <w:r>
        <w:t xml:space="preserve">We found that participants’ deviations from an optimal forward planning reference were systematically organized by task-specific preferences, and that these preferences regulated the influence of planning-derived decision values on choice. This pattern was not well explained by unsystematic errors, recent action-history effects, or the offer-context biases identified in previous work. Instead, participants’ choices were best explained by a model that combined planning-derived decision values with task-specific preferences over offers, energy, and costs. Crucially, these preferences did not act only as additive choice biases. Planning-derived values had the strongest influence on choice when preference uncertainty was high, whereas lower preference uncertainty was associated with reduced planning-related computation, as evidenced by participants’ RT. Additional policy analyses indicated that these preferences preserved reward-relevant task structure and supported substantially higher returns than stochastic choice even without forward planning, although they remained below the optimal forward planning policy. Feature-wise analyses showed that these preferences captured reward-relevant structures of the task. Together, these results suggest that participants used task-specific preferences as efficient approximations to reward-maximizing choice, while relying more strongly on forward planning when these preferences did not provide a clear action tendency.</w:t>
      </w:r>
    </w:p>
    <w:p>
      <w:pPr>
        <w:pStyle w:val="BodyText"/>
      </w:pPr>
      <w:r>
        <w:t xml:space="preserve">This finding reframes task-factor effects in sequential decision-making. Rather than treating offer, energy, and cost effects as separate descriptive biases, the present account interprets them as structured action tendencies that interact with planning-derived values. Computational models of sequential decision-making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structure of the task. Conversely, factorial analyses of experimental data can quantify how different task factors influence behavior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Körding and Wolpert (2004)</w:t>
      </w:r>
      <w:r>
        <w:t xml:space="preserve">. An intuitive interpretation of our results is that task-specific preferences play the role of priors, whereas planning-derived values provide the likelihood-like, state-specific evidence about which action will lead to better future outcomes, and the entropy of the priors determines the extent of forward planning. In our task, this interpretation is particularly evident in how preferences guide behavior in different states. In states where the relevant features jointly imply a clear action tendency (e.g. high offer, low cost and high energy), preferences alone may be sufficient to support efficient decision-making, requiring minimal forward planning. In other states, different features support opposing actions. For instance, a moderate offer may favor rejection, whereas low cost and high energy may favor acceptance. Such opposing factor-level tendencies produce a preference score closer to zero and therefore higher preference uncertainty. In such cases, forward planning can help resolve the remaining ambiguity by evaluating the future consequences of the available actions.</w:t>
      </w:r>
    </w:p>
    <w:p>
      <w:pPr>
        <w:pStyle w:val="BodyText"/>
      </w:pPr>
      <w:r>
        <w:t xml:space="preserve">Our model resembles the policy compression framework, under which forward planning values are integrated with action priors in a Bayesian fashion</w:t>
      </w:r>
      <w:r>
        <w:t xml:space="preserve"> </w:t>
      </w:r>
      <w:r>
        <w:t xml:space="preserve">(Lai and Gershman 2021)</w:t>
      </w:r>
      <w:r>
        <w:t xml:space="preserve">. Importantly, this framework assumes state-independent priors, reflecting the marginal action probability under the current policy</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sequential decision-making tasks, where action–state combinations have complex downstream implications. Our results suggest that participants rely on state-dependent preferences in such tasks. The factorized preference components strike a balance between fully state-specific priors, which would be overly costly in terms of memory and completely state-independent action priors that would be too coarse-grained to be useful in complex tasks.</w:t>
      </w:r>
    </w:p>
    <w:p>
      <w:pPr>
        <w:pStyle w:val="BodyText"/>
      </w:pPr>
      <w:r>
        <w:t xml:space="preserve">Together, these findings provide a potential refinement of the context-dependent planning effects reported by</w:t>
      </w:r>
      <w:r>
        <w:t xml:space="preserve"> </w:t>
      </w:r>
      <w:r>
        <w:t xml:space="preserve">Ott et al. (2022a)</w:t>
      </w:r>
      <w:r>
        <w:t xml:space="preserve">. In that study, participants showed a greater propensity to engage in forward planning for intermediate offers (2 and 3) than for extreme offers (1 and 4), with model comparisons supporting a coarse partition of the state space into these offer contexts. Our results suggest a more general principle: intermediate offers are associated with less decisive preference-based action tendencies, and therefore with greater reliance on planning-derived values. Thus, rather than varying only across predefined offer contexts, planning-related control may vary with preference uncertainty over the relevant task factors, including offer, energy, current cost, and future cost.</w:t>
      </w:r>
    </w:p>
    <w:p>
      <w:pPr>
        <w:pStyle w:val="BodyText"/>
      </w:pPr>
      <w:r>
        <w:t xml:space="preserve">Our results contribute to the debate about whether deviations from optimality reflect systematic errors or adaptive heuristics. Across psychology and perceptual decision-making,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biases can also be interpreted as adaptive heuristics that provide computationally inexpensive shortcuts and support effective, though not necessarily optimal, solutions in complex tasks</w:t>
      </w:r>
      <w:r>
        <w:t xml:space="preserve"> </w:t>
      </w:r>
      <w:r>
        <w:t xml:space="preserve">(</w:t>
      </w:r>
      <w:r>
        <w:t xml:space="preserve">Gigerenzer et al.</w:t>
      </w:r>
      <w:r>
        <w:t xml:space="preserve"> </w:t>
      </w:r>
      <w:r>
        <w:t xml:space="preserve">2000; Tsetsos et al. 2016; Gigerenzer and Brighton 2009)</w:t>
      </w:r>
      <w:r>
        <w:t xml:space="preserve">. In line with an adaptive-heuristic interpretation, our findings suggest that preferences were not arbitrary residuals around an optimal-planning process. Rather, they appeared to capture structured action tendencies derived from task features, which supported above-stochastic performance even in the absence of forward planning. Deviations from optimal forward planning may partly reflect inexpensive, task-specific action tendencies that provide a useful first-pass guide, while being complemented by forward planning when further evaluation is needed. This pattern suggests that preference-based guidance and planning-derived evaluation interact within a single decision process, rather than reflecting a simple opposition between heuristic bias and optimal forward planning.</w:t>
      </w:r>
    </w:p>
    <w:p>
      <w:pPr>
        <w:pStyle w:val="BodyText"/>
      </w:pPr>
      <w:r>
        <w:t xml:space="preserve">Importantly, while the Preference model suggests that task-specific preferences can function like prior action tendencies, the model is rather descriptive in the sense that it does not establish that the fitted preferences are priors in a formal Bayesian sense. In addition, the model implies that the preferences were stable during the modelled task phase and does not capture updating of these preferences. The similarity between preferences and factor levels-dependent marginal action probabilities (see</w:t>
      </w:r>
      <w:r>
        <w:t xml:space="preserve"> </w:t>
      </w:r>
      <w:hyperlink w:anchor="fig-task-features">
        <w:r>
          <w:rPr>
            <w:rStyle w:val="Hyperlink"/>
          </w:rPr>
          <w:t xml:space="preserve">Figure 5</w:t>
        </w:r>
      </w:hyperlink>
      <w:r>
        <w:t xml:space="preserve"> </w:t>
      </w:r>
      <w:r>
        <w:t xml:space="preserve">D) suggests that preferences might arise by keeping track of actions performed at each level of each factor under an approximately optimal policy. For example, this may have happened in the initial training session</w:t>
      </w:r>
      <w:r>
        <w:t xml:space="preserve"> </w:t>
      </w:r>
      <w:r>
        <w:t xml:space="preserve">(Ruge and Wolfensteller 2010)</w:t>
      </w:r>
      <w:r>
        <w:t xml:space="preserve">. Furthermore, general schemas from encounters with similar naturally occurring problems in the environment (budgeting decisions in everyday life), or explicit instructions highlighting relevant features might also play a role in fast learning of preferences. A key question for future research is whether such preferences function as state-dependent action priors, and how agents determine the task features that are relevant for constructing and learning these priors, especially in real-world settings where task structure is not always explicit.</w:t>
      </w:r>
    </w:p>
    <w:p>
      <w:pPr>
        <w:pStyle w:val="BodyText"/>
      </w:pPr>
      <w:r>
        <w:t xml:space="preserve">While our model uses backward induction to derive state-action values, this does not imply that the brain implements forward planning in this way. Biologically plausible forward planning may rely on approximate algorithms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forward planning. The observed interaction between RT, preferences entropy and forward planning conflict suggests that whichever algorithm implements action value estimation in the brain, the extent of planning-related computation can be adaptively adjusted to obtain estimates of different precision, depending on preferences entropy. Developing RL or active inference agents equipped with such structured priors and testing their predictions against human data may be important for understanding the emergence and utility of efficient, adaptive decision strategies in complex environments.</w:t>
      </w:r>
    </w:p>
    <w:p>
      <w:pPr>
        <w:pStyle w:val="BodyText"/>
      </w:pPr>
      <w:r>
        <w:t xml:space="preserve">The present account makes several testable predictions about when preference-based guidance should dominate. Reliance on preferences should increase when task features provide a clear action tendency, when forward planning time is limited, or when the marginal value of additional computation is low. Conversely, reliance on forward planning should increase when task features provide conflicting action tendencies, when future consequences are difficult to infer from local features alone, or when the cost of an error is high. Future experiments could test these predictions by manipulating factors such as time pressure, training, instructions, and task familiarity, planning horizon, task volatility, or the reliability of feature-based cues. Such manipulations could help disentangle the sources of task-specific preferences and clarify how structured priors are formed, adapted and integrated with forward planning.</w:t>
      </w:r>
    </w:p>
    <w:bookmarkEnd w:id="38"/>
    <w:bookmarkStart w:id="58" w:name="methods"/>
    <w:p>
      <w:pPr>
        <w:pStyle w:val="Heading2"/>
      </w:pPr>
      <w:r>
        <w:t xml:space="preserve">4 Methods</w:t>
      </w:r>
    </w:p>
    <w:bookmarkStart w:id="39" w:name="sec-data-desgin"/>
    <w:p>
      <w:pPr>
        <w:pStyle w:val="Heading3"/>
      </w:pPr>
      <w:r>
        <w:t xml:space="preserve">4.1 Data</w:t>
      </w:r>
    </w:p>
    <w:p>
      <w:pPr>
        <w:pStyle w:val="FirstParagraph"/>
      </w:pPr>
      <w:r>
        <w:t xml:space="preserve">The data used in this study were published by Ott and colleagues (2022a). In this study, 40 participants (22 female, mean age=24.4, SD=4.6) took part in a sequential decision-making task</w:t>
      </w:r>
      <w:r>
        <w:t xml:space="preserve"> </w:t>
      </w:r>
      <w:r>
        <w:t xml:space="preserve">(Ott et al. 2022a, 2022b)</w:t>
      </w:r>
      <w:r>
        <w:t xml:space="preserve">. The study was approved by the Institutional Review Board of the Technische Universität Dresden and conducted in accordance with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HC respectively). When they rejected the offer, they gained 1 energy point. Participants’ energy level was capped at 6, so their energy could range from 0 (depleted energy) to 6 (max energy). Offers varied in each trial following a uniform distribution.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uses up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At the start of each trial, a fixation cross was presented for 0.5 s in the middle of the screen. Then, an offer appeared represented by the number of “cups” presented in the middle of the screen, and choice options were presented on each side of the screen, surrounded by a black frame. Participants had 5 s to provide an answer, by selecting either option (accept or reject), in which case the frame around the chosen option disappeared. 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completed 240 trials (60 segments) which are included in subsequent analyses. Participants started with an energy budget of 3, and their reward points were accumulated throughout the entire experiment. The trials sequence was pseudorandomized, such that each costs transitions (LC to LC, LC to HC, HC to LC and HC to HC, see Figure 1 C) occurred equally often within the training and test sessions, resulting in 9 repetitions of each transition in the training session and 15 in the experiment. In addition, the offer sequence was selected such that the frequency of each offer was matched across costs transitions. The sequence of costs’ transitions and offers was kept the same across participants. Participants were offered two to three minutes breaks every 20 segments. The test sessions lasted around 40 min.</w:t>
      </w:r>
    </w:p>
    <w:bookmarkEnd w:id="39"/>
    <w:bookmarkStart w:id="40" w:name="sec-forward_planning_component"/>
    <w:p>
      <w:pPr>
        <w:pStyle w:val="Heading3"/>
      </w:pPr>
      <w:r>
        <w:t xml:space="preserve">4.2 Forward planning component</w:t>
      </w:r>
    </w:p>
    <w:p>
      <w:pPr>
        <w:pStyle w:val="FirstParagraph"/>
      </w:pPr>
      <w:r>
        <w:t xml:space="preserve">To model optimal behavior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behavior would require considering outcomes up until the end of the task, we modelled forward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MDP only over these eight trials would implicitly treat the task as ending after the upcoming segment, leading the optimal policy to spend all remaining energy by the end of that horizon. To avoid this terminal artefact, we included one additional segment beyond the known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bookmarkEnd w:id="40"/>
    <w:bookmarkStart w:id="53" w:name="sec-choice-behavior-modeling-method"/>
    <w:p>
      <w:pPr>
        <w:pStyle w:val="Heading3"/>
      </w:pPr>
      <w:r>
        <w:t xml:space="preserve">4.3 Modelling of participants responses</w:t>
      </w:r>
    </w:p>
    <w:p>
      <w:pPr>
        <w:pStyle w:val="FirstParagraph"/>
      </w:pPr>
      <w:r>
        <w:t xml:space="preserve">Participants responses were modelled using a logistic regression:</w:t>
      </w:r>
    </w:p>
    <w:p>
      <w:pPr>
        <w:pStyle w:val="BodyText"/>
      </w:pPr>
      <w:bookmarkStart w:id="41" w:name="eq-logistic_reg"/>
      <m:oMathPara>
        <m:oMathParaPr>
          <m:jc m:val="center"/>
        </m:oMathParaPr>
        <m:oMath>
          <m:r>
            <m:t>P</m:t>
          </m:r>
          <m:r>
            <m:rPr>
              <m:sty m:val="p"/>
            </m:rPr>
            <m:t>(</m:t>
          </m:r>
          <m:r>
            <m:t>a</m:t>
          </m:r>
          <m:r>
            <m:rPr>
              <m:sty m:val="p"/>
            </m:rPr>
            <m:t>=</m:t>
          </m:r>
          <m:r>
            <m:t>1</m:t>
          </m:r>
          <m:r>
            <m:rPr>
              <m:sty m:val="p"/>
            </m:rPr>
            <m:t>)</m:t>
          </m:r>
          <m:r>
            <m:rPr>
              <m:sty m:val="p"/>
            </m:rPr>
            <m:t>=</m:t>
          </m:r>
          <m:r>
            <m:t>σ</m:t>
          </m:r>
          <m:r>
            <m:rPr>
              <m:sty m:val="p"/>
            </m:rPr>
            <m:t>(</m:t>
          </m:r>
          <m:r>
            <m:t>η</m:t>
          </m:r>
          <m:r>
            <m:rPr>
              <m:sty m:val="p"/>
            </m:rPr>
            <m:t>)</m:t>
          </m:r>
          <m:r>
            <m:t>  </m:t>
          </m:r>
          <m:r>
            <m:rPr>
              <m:sty m:val="p"/>
            </m:rPr>
            <m:t>(</m:t>
          </m:r>
          <m:r>
            <m:t>1</m:t>
          </m:r>
          <m:r>
            <m:rPr>
              <m:sty m:val="p"/>
            </m:rPr>
            <m:t>)</m:t>
          </m:r>
        </m:oMath>
      </m:oMathPara>
      <w:bookmarkEnd w:id="41"/>
    </w:p>
    <w:p>
      <w:pPr>
        <w:pStyle w:val="FirstParagraph"/>
      </w:pPr>
      <w:r>
        <w:t xml:space="preserve">where</w:t>
      </w:r>
    </w:p>
    <w:p>
      <w:pPr>
        <w:pStyle w:val="BodyText"/>
      </w:pPr>
      <w:bookmarkStart w:id="42" w:name="eq-logistic_sigmoid"/>
      <m:oMathPara>
        <m:oMathParaPr>
          <m:jc m:val="center"/>
        </m:oMathParaPr>
        <m:oMath>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sup>
              </m:sSup>
              <m:r>
                <m:t>x</m:t>
              </m:r>
            </m:den>
          </m:f>
          <m:r>
            <m:t>  </m:t>
          </m:r>
          <m:r>
            <m:rPr>
              <m:sty m:val="p"/>
            </m:rPr>
            <m:t>(</m:t>
          </m:r>
          <m:r>
            <m:t>2</m:t>
          </m:r>
          <m:r>
            <m:rPr>
              <m:sty m:val="p"/>
            </m:rPr>
            <m:t>)</m:t>
          </m:r>
        </m:oMath>
      </m:oMathPara>
      <w:bookmarkEnd w:id="42"/>
    </w:p>
    <w:p>
      <w:pPr>
        <w:pStyle w:val="FirstParagraph"/>
      </w:pPr>
      <w:r>
        <w:t xml:space="preserve">denotes the logistic sigmoid.</w:t>
      </w:r>
    </w:p>
    <w:p>
      <w:pPr>
        <w:pStyle w:val="BodyText"/>
      </w:pPr>
      <w:r>
        <w:t xml:space="preserve">Participants’ responses were modelled using Bayesian hierarchical logistic regressions that estimate the probability of accepting the current offer. We compared four models that differed in which sources of information were allowed to influence this probability. All models included planning-derived DV as a benchmark estimate of optimal action value. The models differed in how they accounted for systematic deviations from this forward planning benchmark: as unstructured noise, recent action frequencies, the Offer-context structure identified in the original analysis by</w:t>
      </w:r>
      <w:r>
        <w:t xml:space="preserve"> </w:t>
      </w:r>
      <w:r>
        <w:t xml:space="preserve">Ott et al. (2022a)</w:t>
      </w:r>
      <w:r>
        <w:t xml:space="preserve">, or task-specific preferences. This comparison builds on previous work by including the best-fitting model among the 21 models tested by ott2022forward as a strong reference model. We then asked whether a factorized preference account could explain participants’ choices better than this previous account. Additional parametrizations, reduced models, and robustness checks are described in the model-comparison section below and reported in the supplementary material. Formally, these differences were implemented by changing the predictors included in the linear predictor</w:t>
      </w:r>
      <w:r>
        <w:t xml:space="preserve"> </w:t>
      </w:r>
      <m:oMath>
        <m:r>
          <m:t>η</m:t>
        </m:r>
      </m:oMath>
      <w:r>
        <w:t xml:space="preserve">. We describe the models in turn, starting with the planning model and then adding increasingly structured accounts of participants’ deviations from optimal forward planning.</w:t>
      </w:r>
    </w:p>
    <w:bookmarkStart w:id="44" w:name="planning-model"/>
    <w:p>
      <w:pPr>
        <w:pStyle w:val="Heading4"/>
      </w:pPr>
      <w:r>
        <w:t xml:space="preserve">4.3.1 Planning model</w:t>
      </w:r>
    </w:p>
    <w:p>
      <w:pPr>
        <w:pStyle w:val="FirstParagraph"/>
      </w:pPr>
      <w:r>
        <w:t xml:space="preserve">To establish a benchmark, we first asked whether participants’ choices could be explained by optimal forward planning alone. In this pure Planning model, participants’ responses were modelled only as a function of the planning-derived DV:</w:t>
      </w:r>
    </w:p>
    <w:p>
      <w:pPr>
        <w:pStyle w:val="BodyText"/>
      </w:pPr>
      <w:bookmarkStart w:id="43"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3</m:t>
          </m:r>
          <m:r>
            <m:rPr>
              <m:sty m:val="p"/>
            </m:rPr>
            <m:t>)</m:t>
          </m:r>
        </m:oMath>
      </m:oMathPara>
      <w:bookmarkEnd w:id="43"/>
    </w:p>
    <w:p>
      <w:pPr>
        <w:pStyle w:val="FirstParagraph"/>
      </w:pPr>
      <w:r>
        <w:t xml:space="preserve">This model captures the possibility that participants’ deviations from optimal forward planning are unsystematic. Under this account, alternative models with additional regressors should not yield better predictive accuracy once model complexity is taken into account. Any improvement of the subsequent models would therefore indicate that deviations from the forward planning benchmark contain systematic structure.</w:t>
      </w:r>
    </w:p>
    <w:bookmarkEnd w:id="44"/>
    <w:bookmarkStart w:id="47" w:name="frequency-prior-model"/>
    <w:p>
      <w:pPr>
        <w:pStyle w:val="Heading4"/>
      </w:pPr>
      <w:r>
        <w:t xml:space="preserve">4.3.2 Frequency-prior model</w:t>
      </w:r>
    </w:p>
    <w:p>
      <w:pPr>
        <w:pStyle w:val="FirstParagraph"/>
      </w:pPr>
      <w:r>
        <w:t xml:space="preserve">Alternatively, participants’ deviations from optimality might reflect a recency bias, whereby choice on a given trial is biased towards the most frequent action in recent history. Recent accounts of forward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forward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 Frequency-prior model, which models participants’ responses as a function of DV combined with a recency bias:</w:t>
      </w:r>
    </w:p>
    <w:p>
      <w:pPr>
        <w:pStyle w:val="BodyText"/>
      </w:pPr>
      <w:bookmarkStart w:id="45"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sSub>
                <m:e>
                  <m:r>
                    <m:t>β</m:t>
                  </m:r>
                </m:e>
                <m:sub>
                  <m:r>
                    <m:t>p</m:t>
                  </m:r>
                  <m:r>
                    <m:t>l</m:t>
                  </m:r>
                  <m:r>
                    <m:t>a</m:t>
                  </m:r>
                  <m:r>
                    <m:t>n</m:t>
                  </m:r>
                </m:sub>
              </m:sSub>
              <m:r>
                <m:rPr>
                  <m:sty m:val="p"/>
                </m:rPr>
                <m:t>×</m:t>
              </m:r>
              <m:r>
                <m:t>D</m:t>
              </m:r>
              <m:r>
                <m:t>V</m:t>
              </m:r>
              <m:r>
                <m:rPr>
                  <m:sty m:val="p"/>
                </m:rPr>
                <m:t>+</m:t>
              </m:r>
              <m:sSub>
                <m:e>
                  <m:r>
                    <m:t>β</m:t>
                  </m:r>
                </m:e>
                <m:sub>
                  <m:r>
                    <m:t>p</m:t>
                  </m:r>
                  <m:r>
                    <m:t>r</m:t>
                  </m:r>
                  <m:r>
                    <m:t>i</m:t>
                  </m:r>
                  <m:r>
                    <m:t>o</m:t>
                  </m:r>
                  <m:r>
                    <m:t>r</m:t>
                  </m:r>
                </m:sub>
              </m:sSub>
              <m:r>
                <m:rPr>
                  <m:sty m:val="p"/>
                </m:rPr>
                <m:t>×</m:t>
              </m:r>
              <m:r>
                <m:t>P</m:t>
              </m:r>
              <m:r>
                <m:rPr>
                  <m:sty m:val="p"/>
                </m:rPr>
                <m:t>(</m:t>
              </m:r>
              <m:r>
                <m:t>A</m:t>
              </m:r>
              <m:r>
                <m:rPr>
                  <m:sty m:val="p"/>
                </m:rPr>
                <m:t>)</m:t>
              </m:r>
            </m:e>
          </m:eqArr>
          <m:r>
            <m:t>  </m:t>
          </m:r>
          <m:r>
            <m:rPr>
              <m:sty m:val="p"/>
            </m:rPr>
            <m:t>(</m:t>
          </m:r>
          <m:r>
            <m:t>4</m:t>
          </m:r>
          <m:r>
            <m:rPr>
              <m:sty m:val="p"/>
            </m:rPr>
            <m:t>)</m:t>
          </m:r>
        </m:oMath>
      </m:oMathPara>
      <w:bookmarkEnd w:id="45"/>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w:t>
      </w:r>
      <w:r>
        <w:t xml:space="preserve"> </w:t>
      </w:r>
      <w:hyperlink w:anchor="suppfig-frequency_model_comparison">
        <w:r>
          <w:rPr>
            <w:rStyle w:val="Hyperlink"/>
          </w:rPr>
          <w:t xml:space="preserve">Figure S3</w:t>
        </w:r>
      </w:hyperlink>
      <w:r>
        <w:t xml:space="preserve"> </w:t>
      </w:r>
      <w:r>
        <w:t xml:space="preserve">for exploration of the fit at different</w:t>
      </w:r>
      <w:r>
        <w:t xml:space="preserve"> </w:t>
      </w:r>
      <m:oMath>
        <m:r>
          <m:t>k</m:t>
        </m:r>
      </m:oMath>
      <w:r>
        <w:t xml:space="preserve">):</w:t>
      </w:r>
    </w:p>
    <w:p>
      <w:pPr>
        <w:pStyle w:val="BodyText"/>
      </w:pPr>
      <w:bookmarkStart w:id="46"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5</m:t>
          </m:r>
          <m:r>
            <m:rPr>
              <m:sty m:val="p"/>
            </m:rPr>
            <m:t>)</m:t>
          </m:r>
        </m:oMath>
      </m:oMathPara>
      <w:bookmarkEnd w:id="46"/>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bookmarkEnd w:id="47"/>
    <w:bookmarkStart w:id="49" w:name="offer-context-model"/>
    <w:p>
      <w:pPr>
        <w:pStyle w:val="Heading4"/>
      </w:pPr>
      <w:r>
        <w:t xml:space="preserve">4.3.3 Offer-context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states clusters as separate contexts in which they plan to different extents. We refer to this model as the Offer-context model. Here, the forward planning component (DV) is split between extreme and intermediate offers (offers [1, 4] and [2, 3] respectively) to reflect the fact that participants treat those as separate contexts, with different control requirements. In addition, the model comprises offer specific and energy related flexible biases regressors:</w:t>
      </w:r>
    </w:p>
    <w:p>
      <w:pPr>
        <w:pStyle w:val="BodyText"/>
      </w:pPr>
      <w:bookmarkStart w:id="48" w:name="eq-context-model"/>
      <m:oMathPara>
        <m:oMathParaPr>
          <m:jc m:val="center"/>
        </m:oMathParaPr>
        <m:oMath>
          <m:eqArr>
            <m:e>
              <m:sSub>
                <m:e>
                  <m:r>
                    <m:t>η</m:t>
                  </m:r>
                </m:e>
                <m:sub>
                  <m:r>
                    <m:t>c</m:t>
                  </m:r>
                  <m:r>
                    <m:t>o</m:t>
                  </m:r>
                  <m:r>
                    <m:t>n</m:t>
                  </m:r>
                  <m:r>
                    <m:t>t</m:t>
                  </m:r>
                  <m:r>
                    <m:t>e</m:t>
                  </m:r>
                  <m:r>
                    <m:t>x</m:t>
                  </m:r>
                  <m:r>
                    <m:t>t</m:t>
                  </m:r>
                </m:sub>
              </m:sSub>
              <m:r>
                <m:rPr>
                  <m:sty m:val="p"/>
                </m:rPr>
                <m:t>=</m:t>
              </m:r>
              <m:r>
                <m:t>&amp;</m:t>
              </m:r>
              <m:sSub>
                <m:e>
                  <m:r>
                    <m:t>β</m:t>
                  </m:r>
                </m:e>
                <m:sub>
                  <m:r>
                    <m:t>p</m:t>
                  </m:r>
                  <m:r>
                    <m:t>l</m:t>
                  </m:r>
                  <m:r>
                    <m:t>a</m:t>
                  </m:r>
                  <m:r>
                    <m:t>n</m:t>
                  </m:r>
                  <m:r>
                    <m:t>23</m:t>
                  </m:r>
                </m:sub>
              </m:sSub>
              <m:r>
                <m:rPr>
                  <m:sty m:val="p"/>
                </m:rPr>
                <m:t>×</m:t>
              </m:r>
              <m:r>
                <m:t>D</m:t>
              </m:r>
              <m:sSub>
                <m:e>
                  <m:r>
                    <m:t>V</m:t>
                  </m:r>
                </m:e>
                <m:sub>
                  <m:r>
                    <m:t>23</m:t>
                  </m:r>
                </m:sub>
              </m:sSub>
              <m:r>
                <m:rPr>
                  <m:sty m:val="p"/>
                </m:rPr>
                <m:t>+</m:t>
              </m:r>
              <m:sSub>
                <m:e>
                  <m:r>
                    <m:t>β</m:t>
                  </m:r>
                </m:e>
                <m:sub>
                  <m:r>
                    <m:t>p</m:t>
                  </m:r>
                  <m:r>
                    <m:t>l</m:t>
                  </m:r>
                  <m:r>
                    <m:t>a</m:t>
                  </m:r>
                  <m:r>
                    <m:t>n</m:t>
                  </m:r>
                  <m:r>
                    <m:t>14</m:t>
                  </m:r>
                </m:sub>
              </m:sSub>
              <m:r>
                <m:rPr>
                  <m:sty m:val="p"/>
                </m:rPr>
                <m:t>×</m:t>
              </m:r>
              <m:r>
                <m:t>D</m:t>
              </m:r>
              <m:sSub>
                <m:e>
                  <m:r>
                    <m:t>V</m:t>
                  </m:r>
                </m:e>
                <m:sub>
                  <m:r>
                    <m:t>14</m:t>
                  </m:r>
                </m:sub>
              </m:sSub>
              <m:r>
                <m:rPr>
                  <m:sty m:val="p"/>
                </m:rPr>
                <m:t>+</m:t>
              </m:r>
            </m:e>
            <m:e>
              <m:r>
                <m:t>&amp;</m:t>
              </m:r>
              <m:sSub>
                <m:e>
                  <m:r>
                    <m:t>β</m:t>
                  </m:r>
                </m:e>
                <m:sub>
                  <m:r>
                    <m:t>O</m:t>
                  </m:r>
                  <m:r>
                    <m:t>1</m:t>
                  </m:r>
                </m:sub>
              </m:sSub>
              <m:sSub>
                <m:e>
                  <m:r>
                    <m:rPr>
                      <m:sty m:val="bi"/>
                    </m:rPr>
                    <m:t>I</m:t>
                  </m:r>
                </m:e>
                <m:sub>
                  <m:r>
                    <m:t>O</m:t>
                  </m:r>
                  <m:r>
                    <m:t>1</m:t>
                  </m:r>
                </m:sub>
              </m:sSub>
              <m:r>
                <m:rPr>
                  <m:sty m:val="p"/>
                </m:rPr>
                <m:t>+</m:t>
              </m:r>
              <m:sSub>
                <m:e>
                  <m:r>
                    <m:t>β</m:t>
                  </m:r>
                </m:e>
                <m:sub>
                  <m:r>
                    <m:t>O</m:t>
                  </m:r>
                  <m:r>
                    <m:t>2</m:t>
                  </m:r>
                </m:sub>
              </m:sSub>
              <m:sSub>
                <m:e>
                  <m:r>
                    <m:rPr>
                      <m:sty m:val="bi"/>
                    </m:rPr>
                    <m:t>I</m:t>
                  </m:r>
                </m:e>
                <m:sub>
                  <m:r>
                    <m:t>O</m:t>
                  </m:r>
                  <m:r>
                    <m:t>2</m:t>
                  </m:r>
                </m:sub>
              </m:sSub>
              <m:r>
                <m:rPr>
                  <m:sty m:val="p"/>
                </m:rPr>
                <m:t>+</m:t>
              </m:r>
              <m:sSub>
                <m:e>
                  <m:r>
                    <m:t>β</m:t>
                  </m:r>
                </m:e>
                <m:sub>
                  <m:r>
                    <m:t>O</m:t>
                  </m:r>
                  <m:r>
                    <m:t>3</m:t>
                  </m:r>
                </m:sub>
              </m:sSub>
              <m:sSub>
                <m:e>
                  <m:r>
                    <m:rPr>
                      <m:sty m:val="bi"/>
                    </m:rPr>
                    <m:t>I</m:t>
                  </m:r>
                </m:e>
                <m:sub>
                  <m:r>
                    <m:t>O</m:t>
                  </m:r>
                  <m:r>
                    <m:t>3</m:t>
                  </m:r>
                </m:sub>
              </m:sSub>
              <m:r>
                <m:rPr>
                  <m:sty m:val="p"/>
                </m:rPr>
                <m:t>+</m:t>
              </m:r>
              <m:sSub>
                <m:e>
                  <m:r>
                    <m:t>β</m:t>
                  </m:r>
                </m:e>
                <m:sub>
                  <m:r>
                    <m:t>O</m:t>
                  </m:r>
                  <m:r>
                    <m:t>4</m:t>
                  </m:r>
                </m:sub>
              </m:sSub>
              <m:sSub>
                <m:e>
                  <m:r>
                    <m:rPr>
                      <m:sty m:val="bi"/>
                    </m:rPr>
                    <m:t>I</m:t>
                  </m:r>
                </m:e>
                <m:sub>
                  <m:r>
                    <m:t>O</m:t>
                  </m:r>
                  <m:r>
                    <m:t>4</m:t>
                  </m:r>
                </m:sub>
              </m:sSub>
              <m:r>
                <m:rPr>
                  <m:sty m:val="p"/>
                </m:rPr>
                <m:t>+</m:t>
              </m:r>
            </m:e>
            <m:e>
              <m:r>
                <m:t>&amp;</m:t>
              </m:r>
              <m:sSub>
                <m:e>
                  <m:r>
                    <m:t>β</m:t>
                  </m:r>
                </m:e>
                <m:sub>
                  <m:r>
                    <m:t>b</m:t>
                  </m:r>
                  <m:r>
                    <m:t>a</m:t>
                  </m:r>
                  <m:r>
                    <m:t>s</m:t>
                  </m:r>
                  <m:r>
                    <m:t>i</m:t>
                  </m:r>
                  <m:r>
                    <m:t>c</m:t>
                  </m:r>
                </m:sub>
              </m:sSub>
              <m:sSub>
                <m:e>
                  <m:r>
                    <m:rPr>
                      <m:sty m:val="bi"/>
                    </m:rPr>
                    <m:t>I</m:t>
                  </m:r>
                </m:e>
                <m:sub>
                  <m:r>
                    <m:t>b</m:t>
                  </m:r>
                  <m:r>
                    <m:t>a</m:t>
                  </m:r>
                  <m:r>
                    <m:t>s</m:t>
                  </m:r>
                  <m:r>
                    <m:t>i</m:t>
                  </m:r>
                  <m:r>
                    <m:t>c</m:t>
                  </m:r>
                </m:sub>
              </m:sSub>
              <m:r>
                <m:rPr>
                  <m:sty m:val="p"/>
                </m:rPr>
                <m:t>+</m:t>
              </m:r>
              <m:sSub>
                <m:e>
                  <m:r>
                    <m:t>β</m:t>
                  </m:r>
                </m:e>
                <m:sub>
                  <m:r>
                    <m:t>m</m:t>
                  </m:r>
                  <m:r>
                    <m:t>a</m:t>
                  </m:r>
                  <m:r>
                    <m:t>x</m:t>
                  </m:r>
                  <m:r>
                    <m:t>E</m:t>
                  </m:r>
                </m:sub>
              </m:sSub>
              <m:sSub>
                <m:e>
                  <m:r>
                    <m:rPr>
                      <m:sty m:val="bi"/>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i"/>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i"/>
                    </m:rPr>
                    <m:t>I</m:t>
                  </m:r>
                </m:e>
                <m:sub>
                  <m:r>
                    <m:t>m</m:t>
                  </m:r>
                  <m:r>
                    <m:t>i</m:t>
                  </m:r>
                  <m:r>
                    <m:t>n</m:t>
                  </m:r>
                  <m:sSub>
                    <m:e>
                      <m:r>
                        <m:t>E</m:t>
                      </m:r>
                    </m:e>
                    <m:sub>
                      <m:r>
                        <m:t>H</m:t>
                      </m:r>
                      <m:r>
                        <m:t>C</m:t>
                      </m:r>
                    </m:sub>
                  </m:sSub>
                </m:sub>
              </m:sSub>
            </m:e>
          </m:eqArr>
          <m:r>
            <m:t>  </m:t>
          </m:r>
          <m:r>
            <m:rPr>
              <m:sty m:val="p"/>
            </m:rPr>
            <m:t>(</m:t>
          </m:r>
          <m:r>
            <m:t>6</m:t>
          </m:r>
          <m:r>
            <m:rPr>
              <m:sty m:val="p"/>
            </m:rPr>
            <m:t>)</m:t>
          </m:r>
        </m:oMath>
      </m:oMathPara>
      <w:bookmarkEnd w:id="48"/>
    </w:p>
    <w:p>
      <w:pPr>
        <w:pStyle w:val="FirstParagraph"/>
      </w:pPr>
      <m:oMath>
        <m:r>
          <m:rPr>
            <m:sty m:val="bi"/>
          </m:rPr>
          <m:t>I</m:t>
        </m:r>
      </m:oMath>
      <w:r>
        <w:t xml:space="preserve"> </w:t>
      </w:r>
      <w:r>
        <w:t xml:space="preserve">indicate dummy regressors encoding specific experimental conditions:</w:t>
      </w:r>
      <w:r>
        <w:t xml:space="preserve"> </w:t>
      </w:r>
      <m:oMath>
        <m:sSub>
          <m:e>
            <m:r>
              <m:rPr>
                <m:sty m:val="bi"/>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i"/>
              </m:rPr>
              <m:t>I</m:t>
            </m:r>
          </m:e>
          <m:sub>
            <m:r>
              <m:t>m</m:t>
            </m:r>
            <m:r>
              <m:t>a</m:t>
            </m:r>
            <m:r>
              <m:t>x</m:t>
            </m:r>
            <m:r>
              <m:t>E</m:t>
            </m:r>
          </m:sub>
        </m:sSub>
      </m:oMath>
      <w:r>
        <w:t xml:space="preserve"> </w:t>
      </w:r>
      <w:r>
        <w:t xml:space="preserve">encodes trials where energy is equal to 6,</w:t>
      </w:r>
      <w:r>
        <w:t xml:space="preserve"> </w:t>
      </w:r>
      <m:oMath>
        <m:sSub>
          <m:e>
            <m:r>
              <m:rPr>
                <m:sty m:val="bi"/>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i"/>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i"/>
              </m:rPr>
              <m:t>I</m:t>
            </m:r>
          </m:e>
          <m:sub>
            <m:r>
              <m:t>O</m:t>
            </m:r>
            <m:r>
              <m:t>1</m:t>
            </m:r>
            <m:r>
              <m:rPr>
                <m:sty m:val="p"/>
              </m:rPr>
              <m:t>−</m:t>
            </m:r>
            <m:r>
              <m:t>4</m:t>
            </m:r>
          </m:sub>
        </m:sSub>
      </m:oMath>
      <w:r>
        <w:t xml:space="preserve"> </w:t>
      </w:r>
      <w:r>
        <w:t xml:space="preserve">for trials with offer 1-4 where energy is sufficient to accept. Following</w:t>
      </w:r>
      <w:r>
        <w:t xml:space="preserve"> </w:t>
      </w:r>
      <w:r>
        <w:t xml:space="preserve">Ott et al. (2022a)</w:t>
      </w:r>
      <w:r>
        <w:t xml:space="preserve">, these regressors meant to account for edge cases within the state space were not included in the Frequency-prior model as it was aimed to test whether participants’ biases from optimal behavior can be uniquely explained by a frequency bias. These were also not included in the preference model below, as these regressors consist of a linear combination of the preference factors of the model and would therefore be redundant.</w:t>
      </w:r>
    </w:p>
    <w:bookmarkEnd w:id="49"/>
    <w:bookmarkStart w:id="52" w:name="preferences-model"/>
    <w:p>
      <w:pPr>
        <w:pStyle w:val="Heading4"/>
      </w:pPr>
      <w:r>
        <w:t xml:space="preserve">4.3.4 Preferences model</w:t>
      </w:r>
    </w:p>
    <w:p>
      <w:pPr>
        <w:pStyle w:val="FirstParagraph"/>
      </w:pPr>
      <w:r>
        <w:t xml:space="preserve">Finally, we developed a task-specific preference model (Preference model for short) to test whether participants’ choices reflect the integration of forward planning with task-specific preferences. The model contains three components. First, as in all other models, choices depend on the planning-derived DV. Second, choices depend on a state-dependent, task-specific preference score. This preference score is constructed by assigning preference weights to the levels of the main task factors namely offer, energy, current cost, and future cost. We refer to these as factor-level preferences (i.e., the preference weight associated with a given level of a given factor). The score is then computed as the sum of the corresponding factor-level preferences for the current state. Third, the model includes a modulation term that tests whether the influence of forward planning depends on the uncertainty of the preference score. We quantified this uncertainty as the entropy of the preference score (preference entropy). The model therefore tests the prediction that participants rely more on forward planning when their preferences are weak or uncertain:</w:t>
      </w:r>
    </w:p>
    <w:p>
      <w:pPr>
        <w:pStyle w:val="BodyText"/>
      </w:pPr>
      <w:bookmarkStart w:id="50"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rPr>
                  <m:sty m:val="p"/>
                </m:rPr>
                <m:t>)</m:t>
              </m:r>
              <m:r>
                <m:rPr>
                  <m:sty m:val="p"/>
                </m:rPr>
                <m:t>×</m:t>
              </m:r>
              <m:r>
                <m:t>D</m:t>
              </m:r>
              <m:r>
                <m:t>V</m:t>
              </m:r>
              <m:r>
                <m:rPr>
                  <m:sty m:val="p"/>
                </m:rPr>
                <m:t>)</m:t>
              </m:r>
            </m:e>
          </m:eqArr>
          <m:r>
            <m:t>  </m:t>
          </m:r>
          <m:r>
            <m:rPr>
              <m:sty m:val="p"/>
            </m:rPr>
            <m:t>(</m:t>
          </m:r>
          <m:r>
            <m:t>7</m:t>
          </m:r>
          <m:r>
            <m:rPr>
              <m:sty m:val="p"/>
            </m:rPr>
            <m:t>)</m:t>
          </m:r>
        </m:oMath>
      </m:oMathPara>
      <w:bookmarkEnd w:id="50"/>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i"/>
                      </m:rPr>
                      <m:t>X</m:t>
                    </m:r>
                  </m:e>
                  <m:sub>
                    <m:r>
                      <m:rPr>
                        <m:sty m:val="bi"/>
                      </m:rPr>
                      <m:t>p</m:t>
                    </m:r>
                    <m:r>
                      <m:rPr>
                        <m:sty m:val="bi"/>
                      </m:rPr>
                      <m:t>r</m:t>
                    </m:r>
                    <m:r>
                      <m:rPr>
                        <m:sty m:val="bi"/>
                      </m:rPr>
                      <m:t>e</m:t>
                    </m:r>
                    <m:r>
                      <m:rPr>
                        <m:sty m:val="bi"/>
                      </m:rPr>
                      <m:t>f</m:t>
                    </m:r>
                  </m:sub>
                </m:sSub>
                <m:r>
                  <m:rPr>
                    <m:sty m:val="bi"/>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51"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8</m:t>
          </m:r>
          <m:r>
            <m:rPr>
              <m:sty m:val="p"/>
            </m:rPr>
            <m:t>)</m:t>
          </m:r>
        </m:oMath>
      </m:oMathPara>
      <w:bookmarkEnd w:id="51"/>
    </w:p>
    <w:p>
      <w:pPr>
        <w:pStyle w:val="FirstParagraph"/>
      </w:pPr>
      <w:r>
        <w:t xml:space="preserve">and</w:t>
      </w:r>
      <w:r>
        <w:t xml:space="preserve"> </w:t>
      </w:r>
      <m:oMath>
        <m:r>
          <m:t>σ</m:t>
        </m:r>
        <m:r>
          <m:rPr>
            <m:sty m:val="p"/>
          </m:rPr>
          <m:t>(</m:t>
        </m:r>
        <m:r>
          <m:t>x</m:t>
        </m:r>
        <m:r>
          <m:rPr>
            <m:sty m:val="p"/>
          </m:rPr>
          <m:t>)</m:t>
        </m:r>
      </m:oMath>
      <w:r>
        <w:t xml:space="preserve"> </w:t>
      </w:r>
      <w:r>
        <w:t xml:space="preserve">is the logistic sigmoid defined in</w:t>
      </w:r>
      <w:r>
        <w:t xml:space="preserve"> </w:t>
      </w:r>
      <w:hyperlink w:anchor="eq-logistic_sigmoid">
        <w:r>
          <w:rPr>
            <w:rStyle w:val="Hyperlink"/>
          </w:rPr>
          <w:t xml:space="preserve">Equation 2</w:t>
        </w:r>
      </w:hyperlink>
      <w:r>
        <w:t xml:space="preserve">.</w:t>
      </w:r>
    </w:p>
    <w:p>
      <w:pPr>
        <w:pStyle w:val="BodyText"/>
      </w:pPr>
      <w:r>
        <w:t xml:space="preserve">Participants’ factor-level preferences are estimated as latent variables.</w:t>
      </w:r>
      <w:r>
        <w:t xml:space="preserve"> </w:t>
      </w:r>
      <m:oMath>
        <m:sSub>
          <m:e>
            <m:r>
              <m:rPr>
                <m:sty m:val="bi"/>
              </m:rPr>
              <m:t>X</m:t>
            </m:r>
          </m:e>
          <m:sub>
            <m:r>
              <m:rPr>
                <m:sty m:val="bi"/>
              </m:rPr>
              <m:t>p</m:t>
            </m:r>
            <m:r>
              <m:rPr>
                <m:sty m:val="bi"/>
              </m:rPr>
              <m:t>r</m:t>
            </m:r>
            <m:r>
              <m:rPr>
                <m:sty m:val="bi"/>
              </m:rPr>
              <m:t>e</m:t>
            </m:r>
            <m:r>
              <m:rPr>
                <m:sty m:val="bi"/>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 of the experimental setup (energy, offer, current and future costs) and</w:t>
      </w:r>
      <w:r>
        <w:t xml:space="preserve"> </w:t>
      </w:r>
      <m:oMath>
        <m:r>
          <m:rPr>
            <m:sty m:val="bi"/>
          </m:rPr>
          <m:t>β</m:t>
        </m:r>
      </m:oMath>
      <w:r>
        <w:t xml:space="preserve"> </w:t>
      </w:r>
      <w:r>
        <w:t xml:space="preserve">is a vector of weights estimated for each level of each factor.</w:t>
      </w:r>
    </w:p>
    <w:bookmarkEnd w:id="52"/>
    <w:bookmarkEnd w:id="53"/>
    <w:bookmarkStart w:id="54" w:name="model-fitting-and-comparison"/>
    <w:p>
      <w:pPr>
        <w:pStyle w:val="Heading3"/>
      </w:pPr>
      <w:r>
        <w:t xml:space="preserve">4.4 Model fitting and comparison</w:t>
      </w:r>
    </w:p>
    <w:p>
      <w:pPr>
        <w:pStyle w:val="FirstParagraph"/>
      </w:pPr>
      <w:r>
        <w:t xml:space="preserve">Models were fitted to participants’ response data using Bayesian hierarchical logistic regressions implemented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if RT exceeded the response window (5 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m</m:t>
            </m:r>
            <m:r>
              <m:t>o</m:t>
            </m:r>
            <m:r>
              <m:t>d</m:t>
            </m:r>
            <m:r>
              <m:t>u</m:t>
            </m:r>
            <m:r>
              <m:t>l</m:t>
            </m:r>
            <m:r>
              <m:t>a</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remaining parameters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 We report the mean of the posterior and the 95% credible interval for the estimated parameters in the text.</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performed model comparison within each single subject to estimate the robustness of the best-fitting model in our population sample, by computing the sum of the pointwise predictive accuracy for each participant and model, yielding a score for each participant and model.</w:t>
      </w:r>
    </w:p>
    <w:p>
      <w:pPr>
        <w:pStyle w:val="BodyText"/>
      </w:pPr>
      <w:r>
        <w:t xml:space="preserve">Note that each of the four main models was compared against alternative parameterizations to ensure the robustness of our findings and rule out alternative explanations. For example, the Frequency-prior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Offer-context model was selected from a previous study</w:t>
      </w:r>
      <w:r>
        <w:t xml:space="preserve"> </w:t>
      </w:r>
      <w:r>
        <w:t xml:space="preserve">(Ott et al. 2022a)</w:t>
      </w:r>
      <w:r>
        <w:t xml:space="preserve"> </w:t>
      </w:r>
      <w:r>
        <w:t xml:space="preserve">after comparison with 21 alternatives. Similarly, reduced versions of the Preference model were tested against the full model by removing each component (forward planning, preference and modulation) as well as individual task factors (or a total of 7 alternative preference models,see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Offer-context, and Preference models) in the main text, with comparisons to all alternatives detailed in the supplementary material.</w:t>
      </w:r>
    </w:p>
    <w:bookmarkEnd w:id="54"/>
    <w:bookmarkStart w:id="55" w:name="sec-factor-relevance-analysis"/>
    <w:p>
      <w:pPr>
        <w:pStyle w:val="Heading3"/>
      </w:pPr>
      <w:r>
        <w:t xml:space="preserve">4.5 Experimental factors relevance analysis</w:t>
      </w:r>
    </w:p>
    <w:p>
      <w:pPr>
        <w:pStyle w:val="FirstParagraph"/>
      </w:pPr>
      <w:r>
        <w:t xml:space="preserve">The Preference model estimates factor-level preference weights for each task factor (energy, offer, current and future costs), revealing that participants’ deviations from optimal forward planning are more strongly driven by some factors of the task (energy and offers) than others (current and future costs). To quantify the behavioral contribution of each factor, we compared the full preference model to reduced models in which all factor-level preference regressors from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forward planning is systematically influenced by specific task factors raises the question of whether preferences constitute unhelpful biases (suboptimal tendencies without adaptive value in the task) or whether they reflect a structured yet simplified solution to the task. In other words, could participants’ preferences constitute a low-dimensional decomposition of an approximation of the optimal policy, providing a cheap alternative to guide behavior in the absence of forward planning? To test this hypothesis, we conducted a series of analyses to test whether weights of the factors in participants’ preferences relate to the structure of the task.</w:t>
      </w:r>
    </w:p>
    <w:p>
      <w:pPr>
        <w:pStyle w:val="BodyText"/>
      </w:pPr>
      <w:r>
        <w:t xml:space="preserve">First, we asked whether the factors that are strongly weighted in participants’ preference scores are more relevant for reward maximization. For this purpose, we constructed reduced versions of the full MDP described in</w:t>
      </w:r>
      <w:r>
        <w:t xml:space="preserve"> </w:t>
      </w:r>
      <w:hyperlink w:anchor="sec-forward_planning_component">
        <w:r>
          <w:rPr>
            <w:rStyle w:val="Hyperlink"/>
          </w:rPr>
          <w:t xml:space="preserve">Section 4.2</w:t>
        </w:r>
      </w:hyperlink>
      <w:r>
        <w:t xml:space="preserve">, where one task factor (such as offer, energy…) was omitted by averaging transition probabilities and rewards across the levels of that factor. For each reduced MDP, we computed the state action value function (</w:t>
      </w:r>
      <m:oMath>
        <m:sSub>
          <m:e>
            <m:r>
              <m:t>Q</m:t>
            </m:r>
          </m:e>
          <m:sub>
            <m:r>
              <m:t>r</m:t>
            </m:r>
            <m:r>
              <m:t>e</m:t>
            </m:r>
            <m:r>
              <m:t>d</m:t>
            </m:r>
            <m:r>
              <m:t>u</m:t>
            </m:r>
            <m:r>
              <m:t>c</m:t>
            </m:r>
            <m:r>
              <m:t>e</m:t>
            </m:r>
            <m:r>
              <m:t>d</m:t>
            </m:r>
          </m:sub>
        </m:sSub>
      </m:oMath>
      <w:r>
        <w:t xml:space="preserve">) and mapped it back onto the full MDP by assigning the aggregated states’ values to their corresponding original states. Using this mapping, we derived a policy from the reduced MDP and calculated its expected return in the full MDP.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forward planning. We derived policies from the preference score of the full Preference model and from reduced Preference models in which one task factor was omitted. We then computed the expected return of each preference-based policy relative to the optimal policy. If task-specific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Within the policy-compression framework, compressed policies can be described in terms of marginal action probabilities</w:t>
      </w:r>
      <w:r>
        <w:t xml:space="preserve"> </w:t>
      </w:r>
      <w:r>
        <w:t xml:space="preserve">(Lai and Gershman 2021)</w:t>
      </w:r>
      <w:r>
        <w:t xml:space="preserve">. We therefore computed, under the optimal policy, the probability of accepting under each level of each task factor after marginalizing over all other factors. For example, we computed the frequency with which an offer of 1 should be accepted across all energy and cost states. We then compared these factor-specific marginal action probabilities with the fitted preference weights. A close correspondence would suggest that participants’ preferences may approximate feature-specific marginal action tendencies of the optimal policy.</w:t>
      </w:r>
    </w:p>
    <w:bookmarkEnd w:id="55"/>
    <w:bookmarkStart w:id="57" w:name="sec-RT-model-method"/>
    <w:p>
      <w:pPr>
        <w:pStyle w:val="Heading3"/>
      </w:pPr>
      <w:r>
        <w:t xml:space="preserve">4.6 Reaction times analysis</w:t>
      </w:r>
    </w:p>
    <w:p>
      <w:pPr>
        <w:pStyle w:val="FirstParagraph"/>
      </w:pPr>
      <w:r>
        <w:t xml:space="preserve">In our task, exact computation of optimal policy is prohibitively expensive, given the size of the task’s state space (1,456 states), the forward planning horizon, and the highly probabilistic nature of the task. Preferences derived from task knowledge or from task experience are presumably readily available to the participants or require minimal computation. A part of our hypothesis is that instead of systematically evaluating all future outcomes before making a choice, participants consider the entropy of their preferences to determine how much they should engage in forward planning. If so, we would expect participants’ RT to reflect the entropy of their preferences, as more certain preferences should be associated with less forward planning, resulting in faster RT.</w:t>
      </w:r>
    </w:p>
    <w:p>
      <w:pPr>
        <w:pStyle w:val="BodyText"/>
      </w:pPr>
      <w:r>
        <w:t xml:space="preserve">Ott et al. (2022a)</w:t>
      </w:r>
      <w:r>
        <w:t xml:space="preserve"> </w:t>
      </w:r>
      <w:r>
        <w:t xml:space="preserve">showed that response times were slower when the planning-derived DV for accepting and rejecting were similar, and that this forward planning conflict effect was greater for intermediate than for extreme offers. We reinterpret this context dependence as a consequence of preference entropy. Intermediate offers tend to generate weaker preference signals, whereas extreme offers tend to produce clearer action tendencies. Accordingly, we expected forward planning conflict to slow responses most when preferences were weak.</w:t>
      </w:r>
    </w:p>
    <w:p>
      <w:pPr>
        <w:pStyle w:val="BodyText"/>
      </w:pPr>
      <w:r>
        <w:t xml:space="preserve">To test whether the effect of forward planning conflict should depend on preference entropy, we modelled participants’ RTs as a function of forward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model) and the modulation of forward planning by preference entropy:</w:t>
      </w:r>
    </w:p>
    <w:p>
      <w:pPr>
        <w:pStyle w:val="BodyText"/>
      </w:pPr>
      <w:bookmarkStart w:id="56"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rPr>
              <m:sty m:val="p"/>
            </m:rPr>
            <m:t>)</m:t>
          </m:r>
          <m:r>
            <m:rPr>
              <m:sty m:val="p"/>
            </m:rPr>
            <m:t>+</m:t>
          </m:r>
          <m:sSub>
            <m:e>
              <m:r>
                <m:t>β</m:t>
              </m:r>
            </m:e>
            <m:sub>
              <m:r>
                <m:t>m</m:t>
              </m:r>
              <m:r>
                <m:t>o</m:t>
              </m:r>
              <m:r>
                <m:t>d</m:t>
              </m:r>
              <m:r>
                <m:t>u</m:t>
              </m:r>
              <m:r>
                <m:t>l</m:t>
              </m:r>
              <m:r>
                <m:t>a</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rPr>
              <m:sty m:val="p"/>
            </m:rPr>
            <m:t>)</m:t>
          </m:r>
          <m:r>
            <m:rPr>
              <m:sty m:val="p"/>
            </m:rPr>
            <m:t>)</m:t>
          </m:r>
          <m:r>
            <m:t>  </m:t>
          </m:r>
          <m:r>
            <m:rPr>
              <m:sty m:val="p"/>
            </m:rPr>
            <m:t>(</m:t>
          </m:r>
          <m:r>
            <m:t>9</m:t>
          </m:r>
          <m:r>
            <m:rPr>
              <m:sty m:val="p"/>
            </m:rPr>
            <m:t>)</m:t>
          </m:r>
        </m:oMath>
      </m:oMathPara>
      <w:bookmarkEnd w:id="56"/>
    </w:p>
    <w:p>
      <w:pPr>
        <w:pStyle w:val="FirstParagraph"/>
      </w:pPr>
      <w:r>
        <w:t xml:space="preserve">We predicted a positive modulation, such that forward planning conflict would be associated with longer RTs when preference entropy was high, that is, when preferences were weak or uncertain.</w:t>
      </w:r>
    </w:p>
    <w:bookmarkEnd w:id="57"/>
    <w:bookmarkEnd w:id="58"/>
    <w:bookmarkStart w:id="59" w:name="acknowledgements"/>
    <w:p>
      <w:pPr>
        <w:pStyle w:val="Heading2"/>
      </w:pPr>
      <w:r>
        <w:t xml:space="preserve">5 Acknowledgements</w:t>
      </w:r>
    </w:p>
    <w:p>
      <w:pPr>
        <w:pStyle w:val="FirstParagraph"/>
      </w:pPr>
      <w:r>
        <w:t xml:space="preserve">The authors thank Qian Chu for their valuable comments and suggestions. This work was funded by the the German Research Foundation (DFG, Deutsche Forschungsgemeinschaft) – 538763959 – and as part of Germany’s Excellence Strategy – EXC 2050/2 – Project ID 390696704 – Cluster of Excellence ‘Centre for Tactile Internet with Human-in-the-Loop’ (CeTI) of TUD Dresden University of Technology.</w:t>
      </w:r>
    </w:p>
    <w:bookmarkEnd w:id="59"/>
    <w:bookmarkStart w:id="60" w:name="contribution-statement"/>
    <w:p>
      <w:pPr>
        <w:pStyle w:val="Heading2"/>
      </w:pPr>
      <w:r>
        <w:t xml:space="preserve">6 Contribution statement</w:t>
      </w:r>
    </w:p>
    <w:p>
      <w:pPr>
        <w:pStyle w:val="FirstParagraph"/>
      </w:pPr>
      <w:r>
        <w:t xml:space="preserve">Conceptualization: A.L., F.O., S.K.; Data curation: A.L., F.O.; Formal analysis: A.L.; Funding acquisition: F.O., S.K.; Investigation: A.L.; Methodology: A.L., S.K.; Project management: A.L.; Resources: S.K.; Software: A.L.; Supervision: S.K.; Validation: A.L.; Visualization: A.L., S.K.; Writing - original draft: A.L., S.K.; Writing - review &amp; editing: A.L., F.O., S.K.</w:t>
      </w:r>
    </w:p>
    <w:bookmarkEnd w:id="60"/>
    <w:bookmarkStart w:id="61" w:name="data-and-code-statement"/>
    <w:p>
      <w:pPr>
        <w:pStyle w:val="Heading2"/>
      </w:pPr>
      <w:r>
        <w:t xml:space="preserve">7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bookmarkEnd w:id="61"/>
    <w:bookmarkStart w:id="111" w:name="references"/>
    <w:p>
      <w:pPr>
        <w:pStyle w:val="Heading2"/>
      </w:pPr>
      <w:r>
        <w:t xml:space="preserve">8 References</w:t>
      </w:r>
    </w:p>
    <w:bookmarkStart w:id="110"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8" w:name="ref-callaway2022rational"/>
    <w:p>
      <w:pPr>
        <w:pStyle w:val="Bibliography"/>
      </w:pPr>
      <w:r>
        <w:t xml:space="preserve">Callaway, Frederick, Bas Van Opheusden, Sayan Gul, et al. 2022.</w:t>
      </w:r>
      <w:r>
        <w:t xml:space="preserve"> </w:t>
      </w:r>
      <w:r>
        <w:t xml:space="preserve">“Rational Use of Cognitive Resources in Human Planning.”</w:t>
      </w:r>
      <w:r>
        <w:t xml:space="preserve"> </w:t>
      </w:r>
      <w:r>
        <w:rPr>
          <w:i/>
          <w:iCs/>
        </w:rPr>
        <w:t xml:space="preserve">Nature Human Behaviour</w:t>
      </w:r>
      <w:r>
        <w:t xml:space="preserve"> </w:t>
      </w:r>
      <w:r>
        <w:t xml:space="preserve">6 (8): 1112–25.</w:t>
      </w:r>
    </w:p>
    <w:bookmarkEnd w:id="68"/>
    <w:bookmarkStart w:id="70"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9">
        <w:r>
          <w:rPr>
            <w:rStyle w:val="Hyperlink"/>
          </w:rPr>
          <w:t xml:space="preserve">https://doi.org/10.18637/jss.v103.i15</w:t>
        </w:r>
      </w:hyperlink>
      <w:r>
        <w:t xml:space="preserve">.</w:t>
      </w:r>
    </w:p>
    <w:bookmarkEnd w:id="70"/>
    <w:bookmarkStart w:id="71"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3"/>
    <w:bookmarkStart w:id="74"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4"/>
    <w:bookmarkStart w:id="75"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75"/>
    <w:bookmarkStart w:id="76"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gluth2012deciding"/>
    <w:p>
      <w:pPr>
        <w:pStyle w:val="Bibliography"/>
      </w:pPr>
      <w:r>
        <w:t xml:space="preserve">Gluth, Sebastian, Jörg Rieskamp, and Christian Büchel. 2012.</w:t>
      </w:r>
      <w:r>
        <w:t xml:space="preserve"> </w:t>
      </w:r>
      <w:r>
        <w:t xml:space="preserve">“Deciding When to Decide: Time-Variant Sequential Sampling Models Explain the Emergence of Value-Based Decisions in the Human Brain.”</w:t>
      </w:r>
      <w:r>
        <w:t xml:space="preserve"> </w:t>
      </w:r>
      <w:r>
        <w:rPr>
          <w:i/>
          <w:iCs/>
        </w:rPr>
        <w:t xml:space="preserve">Journal of Neuroscience</w:t>
      </w:r>
      <w:r>
        <w:t xml:space="preserve"> </w:t>
      </w:r>
      <w:r>
        <w:t xml:space="preserve">32 (31): 10686–98.</w:t>
      </w:r>
    </w:p>
    <w:bookmarkEnd w:id="78"/>
    <w:bookmarkStart w:id="79"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9"/>
    <w:bookmarkStart w:id="80"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80"/>
    <w:bookmarkStart w:id="81"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1"/>
    <w:bookmarkStart w:id="82"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2"/>
    <w:bookmarkStart w:id="83"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3"/>
    <w:bookmarkStart w:id="84"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4"/>
    <w:bookmarkStart w:id="85"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5"/>
    <w:bookmarkStart w:id="86"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6"/>
    <w:bookmarkStart w:id="87" w:name="ref-lee2021trading"/>
    <w:p>
      <w:pPr>
        <w:pStyle w:val="Bibliography"/>
      </w:pPr>
      <w:r>
        <w:t xml:space="preserve">Lee, Douglas G, and Jean Daunizeau. 2021.</w:t>
      </w:r>
      <w:r>
        <w:t xml:space="preserve"> </w:t>
      </w:r>
      <w:r>
        <w:t xml:space="preserve">“Trading Mental Effort for Confidence in the Metacognitive Control of Value-Based Decision-Making.”</w:t>
      </w:r>
      <w:r>
        <w:t xml:space="preserve"> </w:t>
      </w:r>
      <w:r>
        <w:rPr>
          <w:i/>
          <w:iCs/>
        </w:rPr>
        <w:t xml:space="preserve">Elife</w:t>
      </w:r>
      <w:r>
        <w:t xml:space="preserve"> </w:t>
      </w:r>
      <w:r>
        <w:t xml:space="preserve">10: e63282.</w:t>
      </w:r>
    </w:p>
    <w:bookmarkEnd w:id="87"/>
    <w:bookmarkStart w:id="88"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8"/>
    <w:bookmarkStart w:id="89"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9"/>
    <w:bookmarkStart w:id="91"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90">
        <w:r>
          <w:rPr>
            <w:rStyle w:val="Hyperlink"/>
          </w:rPr>
          <w:t xml:space="preserve">https://doi.org/10.1016/j.neuroimage.2022.119222</w:t>
        </w:r>
      </w:hyperlink>
      <w:r>
        <w:t xml:space="preserve">.</w:t>
      </w:r>
    </w:p>
    <w:bookmarkEnd w:id="91"/>
    <w:bookmarkStart w:id="93"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2">
        <w:r>
          <w:rPr>
            <w:rStyle w:val="Hyperlink"/>
          </w:rPr>
          <w:t xml:space="preserve">https://doi.org/10.5281/zenodo.6328296</w:t>
        </w:r>
      </w:hyperlink>
      <w:r>
        <w:t xml:space="preserve">.</w:t>
      </w:r>
    </w:p>
    <w:bookmarkEnd w:id="93"/>
    <w:bookmarkStart w:id="94"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4"/>
    <w:bookmarkStart w:id="95" w:name="ref-parush2011dopaminergic"/>
    <w:p>
      <w:pPr>
        <w:pStyle w:val="Bibliography"/>
      </w:pPr>
      <w:r>
        <w:t xml:space="preserve">Parush, Naama, Naftali Tishby, and Hagai Bergman. 2011.</w:t>
      </w:r>
      <w:r>
        <w:t xml:space="preserve"> </w:t>
      </w:r>
      <w:r>
        <w:t xml:space="preserve">“Dopaminergic Balance Between Reward Maximization and Policy Complexity.”</w:t>
      </w:r>
      <w:r>
        <w:t xml:space="preserve"> </w:t>
      </w:r>
      <w:r>
        <w:rPr>
          <w:i/>
          <w:iCs/>
        </w:rPr>
        <w:t xml:space="preserve">Frontiers in Systems Neuroscience</w:t>
      </w:r>
      <w:r>
        <w:t xml:space="preserve"> </w:t>
      </w:r>
      <w:r>
        <w:t xml:space="preserve">5: 22.</w:t>
      </w:r>
    </w:p>
    <w:bookmarkEnd w:id="95"/>
    <w:bookmarkStart w:id="96" w:name="ref-pouget2013probabilistic"/>
    <w:p>
      <w:pPr>
        <w:pStyle w:val="Bibliography"/>
      </w:pPr>
      <w:r>
        <w:t xml:space="preserve">Pouget, Alexandre, Jeffrey M Beck, Wei Ji Ma, and Peter E Latham. 2013.</w:t>
      </w:r>
      <w:r>
        <w:t xml:space="preserve"> </w:t>
      </w:r>
      <w:r>
        <w:t xml:space="preserve">“Probabilistic Brains: Knowns and Unknowns.”</w:t>
      </w:r>
      <w:r>
        <w:t xml:space="preserve"> </w:t>
      </w:r>
      <w:r>
        <w:rPr>
          <w:i/>
          <w:iCs/>
        </w:rPr>
        <w:t xml:space="preserve">Nature Neuroscience</w:t>
      </w:r>
      <w:r>
        <w:t xml:space="preserve"> </w:t>
      </w:r>
      <w:r>
        <w:t xml:space="preserve">16 (9): 1170–78.</w:t>
      </w:r>
    </w:p>
    <w:bookmarkEnd w:id="96"/>
    <w:bookmarkStart w:id="97"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7"/>
    <w:bookmarkStart w:id="98"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8"/>
    <w:bookmarkStart w:id="99" w:name="ref-ruge2010rapid"/>
    <w:p>
      <w:pPr>
        <w:pStyle w:val="Bibliography"/>
      </w:pPr>
      <w:r>
        <w:t xml:space="preserve">Ruge, Hannes, and Uta Wolfensteller. 2010.</w:t>
      </w:r>
      <w:r>
        <w:t xml:space="preserve"> </w:t>
      </w:r>
      <w:r>
        <w:t xml:space="preserve">“Rapid Formation of Pragmatic Rule Representations in the Human Brain During Instruction-Based Learning.”</w:t>
      </w:r>
      <w:r>
        <w:t xml:space="preserve"> </w:t>
      </w:r>
      <w:r>
        <w:rPr>
          <w:i/>
          <w:iCs/>
        </w:rPr>
        <w:t xml:space="preserve">Cerebral Cortex</w:t>
      </w:r>
      <w:r>
        <w:t xml:space="preserve"> </w:t>
      </w:r>
      <w:r>
        <w:t xml:space="preserve">20 (7): 1656–67.</w:t>
      </w:r>
    </w:p>
    <w:bookmarkEnd w:id="99"/>
    <w:bookmarkStart w:id="100"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00"/>
    <w:bookmarkStart w:id="101"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01"/>
    <w:bookmarkStart w:id="102"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02"/>
    <w:bookmarkStart w:id="103"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3"/>
    <w:bookmarkStart w:id="104"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4"/>
    <w:bookmarkStart w:id="105"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5"/>
    <w:bookmarkStart w:id="106"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6"/>
    <w:bookmarkStart w:id="107"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7"/>
    <w:bookmarkStart w:id="108"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8"/>
    <w:bookmarkStart w:id="109"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9"/>
    <w:bookmarkEnd w:id="110"/>
    <w:bookmarkEnd w:id="111"/>
    <w:bookmarkStart w:id="138" w:name="supplementary-material"/>
    <w:p>
      <w:pPr>
        <w:pStyle w:val="Heading2"/>
      </w:pPr>
      <w:r>
        <w:t xml:space="preserve">9 Supplementary material</w:t>
      </w:r>
    </w:p>
    <w:bookmarkStart w:id="116" w:name="supplementary-figures"/>
    <w:p>
      <w:pPr>
        <w:pStyle w:val="Heading3"/>
      </w:pPr>
      <w:r>
        <w:t xml:space="preserve">9.1 Supplementary figures:</w:t>
      </w:r>
    </w:p>
    <w:tbl>
      <w:tblPr>
        <w:tblStyle w:val="Table"/>
        <w:tblW w:type="pct" w:w="5000"/>
        <w:tblLayout w:type="fixed"/>
        <w:tblLook w:firstRow="0" w:lastRow="0" w:firstColumn="0" w:lastColumn="0" w:noHBand="0" w:noVBand="0" w:val="0000"/>
      </w:tblPr>
      <w:tblGrid>
        <w:gridCol w:w="7920"/>
      </w:tblGrid>
      <w:tr>
        <w:tc>
          <w:tcPr/>
          <w:bookmarkStart w:id="115" w:name="suppfig-pref-planning-interaction"/>
          <w:p>
            <w:pPr>
              <w:pStyle w:val="Compact"/>
              <w:jc w:val="center"/>
            </w:pPr>
            <w:r>
              <w:drawing>
                <wp:inline>
                  <wp:extent cx="5334000" cy="7495760"/>
                  <wp:effectExtent b="0" l="0" r="0" t="0"/>
                  <wp:docPr descr="" title="" id="113" name="Picture"/>
                  <a:graphic>
                    <a:graphicData uri="http://schemas.openxmlformats.org/drawingml/2006/picture">
                      <pic:pic>
                        <pic:nvPicPr>
                          <pic:cNvPr descr="index_files/figure-docx/S1-supplementary_figures_tables-suppfig-pref-planning-interaction-output-1.png" id="114" name="Picture"/>
                          <pic:cNvPicPr>
                            <a:picLocks noChangeArrowheads="1" noChangeAspect="1"/>
                          </pic:cNvPicPr>
                        </pic:nvPicPr>
                        <pic:blipFill>
                          <a:blip r:embed="rId112"/>
                          <a:stretch>
                            <a:fillRect/>
                          </a:stretch>
                        </pic:blipFill>
                        <pic:spPr bwMode="auto">
                          <a:xfrm>
                            <a:off x="0" y="0"/>
                            <a:ext cx="5334000" cy="749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115"/>
        </w:tc>
      </w:tr>
    </w:tbl>
    <w:bookmarkEnd w:id="116"/>
    <w:bookmarkStart w:id="119" w:name="supplementary-tables"/>
    <w:p>
      <w:pPr>
        <w:pStyle w:val="Heading3"/>
      </w:pPr>
      <w:r>
        <w:t xml:space="preserve">9.2 Supplementary tables:</w:t>
      </w:r>
    </w:p>
    <w:tbl>
      <w:tblPr>
        <w:tblStyle w:val="Table"/>
        <w:tblW w:type="pct" w:w="5000"/>
        <w:tblLayout w:type="fixed"/>
        <w:tblLook w:firstRow="0" w:lastRow="0" w:firstColumn="0" w:lastColumn="0" w:noHBand="0" w:noVBand="0" w:val="0000"/>
      </w:tblPr>
      <w:tblGrid>
        <w:gridCol w:w="7920"/>
      </w:tblGrid>
      <w:tr>
        <w:tc>
          <w:tcPr/>
          <w:bookmarkStart w:id="117"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-1657.96</w:t>
                  </w:r>
                </w:p>
              </w:tc>
              <w:tc>
                <w:tcPr/>
                <w:p>
                  <w:pPr>
                    <w:pStyle w:val="Compact"/>
                    <w:jc w:val="right"/>
                    <w:jc w:val="center"/>
                  </w:pPr>
                  <w:r>
                    <w:t xml:space="preserve">160.738</w:t>
                  </w:r>
                </w:p>
              </w:tc>
              <w:tc>
                <w:tcPr/>
                <w:p>
                  <w:pPr>
                    <w:pStyle w:val="Compact"/>
                    <w:jc w:val="right"/>
                    <w:jc w:val="center"/>
                  </w:pPr>
                  <w:r>
                    <w:t xml:space="preserve">165.486</w:t>
                  </w:r>
                </w:p>
              </w:tc>
              <w:tc>
                <w:tcPr/>
                <w:p>
                  <w:pPr>
                    <w:pStyle w:val="Compact"/>
                    <w:jc w:val="right"/>
                    <w:jc w:val="center"/>
                  </w:pPr>
                  <w:r>
                    <w:t xml:space="preserve">52.6188</w:t>
                  </w:r>
                </w:p>
              </w:tc>
              <w:tc>
                <w:tcPr/>
                <w:p>
                  <w:pPr>
                    <w:pStyle w:val="Compact"/>
                    <w:jc w:val="right"/>
                    <w:jc w:val="center"/>
                  </w:pPr>
                  <w:r>
                    <w:t xml:space="preserve">19.6029</w:t>
                  </w:r>
                </w:p>
              </w:tc>
            </w:tr>
            <w:tr>
              <w:tc>
                <w:tcPr/>
                <w:p>
                  <w:pPr>
                    <w:pStyle w:val="Compact"/>
                    <w:jc w:val="left"/>
                    <w:jc w:val="center"/>
                  </w:pPr>
                  <w:r>
                    <w:t xml:space="preserve">Frequency prior</w:t>
                  </w:r>
                </w:p>
              </w:tc>
              <w:tc>
                <w:tcPr/>
                <w:p>
                  <w:pPr>
                    <w:pStyle w:val="Compact"/>
                    <w:jc w:val="right"/>
                    <w:jc w:val="center"/>
                  </w:pPr>
                  <w:r>
                    <w:t xml:space="preserve">-2073.86</w:t>
                  </w:r>
                </w:p>
              </w:tc>
              <w:tc>
                <w:tcPr/>
                <w:p>
                  <w:pPr>
                    <w:pStyle w:val="Compact"/>
                    <w:jc w:val="right"/>
                    <w:jc w:val="center"/>
                  </w:pPr>
                  <w:r>
                    <w:t xml:space="preserve">77.4975</w:t>
                  </w:r>
                </w:p>
              </w:tc>
              <w:tc>
                <w:tcPr/>
                <w:p>
                  <w:pPr>
                    <w:pStyle w:val="Compact"/>
                    <w:jc w:val="right"/>
                    <w:jc w:val="center"/>
                  </w:pPr>
                  <w:r>
                    <w:t xml:space="preserve">581.384</w:t>
                  </w:r>
                </w:p>
              </w:tc>
              <w:tc>
                <w:tcPr/>
                <w:p>
                  <w:pPr>
                    <w:pStyle w:val="Compact"/>
                    <w:jc w:val="right"/>
                    <w:jc w:val="center"/>
                  </w:pPr>
                  <w:r>
                    <w:t xml:space="preserve">55.6579</w:t>
                  </w:r>
                </w:p>
              </w:tc>
              <w:tc>
                <w:tcPr/>
                <w:p>
                  <w:pPr>
                    <w:pStyle w:val="Compact"/>
                    <w:jc w:val="right"/>
                    <w:jc w:val="center"/>
                  </w:pPr>
                  <w:r>
                    <w:t xml:space="preserve">35.8832</w:t>
                  </w:r>
                </w:p>
              </w:tc>
            </w:tr>
            <w:tr>
              <w:tc>
                <w:tcPr/>
                <w:p>
                  <w:pPr>
                    <w:pStyle w:val="Compact"/>
                    <w:jc w:val="left"/>
                    <w:jc w:val="center"/>
                  </w:pPr>
                  <w:r>
                    <w:t xml:space="preserve">Planning</w:t>
                  </w:r>
                </w:p>
              </w:tc>
              <w:tc>
                <w:tcPr/>
                <w:p>
                  <w:pPr>
                    <w:pStyle w:val="Compact"/>
                    <w:jc w:val="right"/>
                    <w:jc w:val="center"/>
                  </w:pPr>
                  <w:r>
                    <w:t xml:space="preserve">-2078.76</w:t>
                  </w:r>
                </w:p>
              </w:tc>
              <w:tc>
                <w:tcPr/>
                <w:p>
                  <w:pPr>
                    <w:pStyle w:val="Compact"/>
                    <w:jc w:val="right"/>
                    <w:jc w:val="center"/>
                  </w:pPr>
                  <w:r>
                    <w:t xml:space="preserve">68.6015</w:t>
                  </w:r>
                </w:p>
              </w:tc>
              <w:tc>
                <w:tcPr/>
                <w:p>
                  <w:pPr>
                    <w:pStyle w:val="Compact"/>
                    <w:jc w:val="right"/>
                    <w:jc w:val="center"/>
                  </w:pPr>
                  <w:r>
                    <w:t xml:space="preserve">586.285</w:t>
                  </w:r>
                </w:p>
              </w:tc>
              <w:tc>
                <w:tcPr/>
                <w:p>
                  <w:pPr>
                    <w:pStyle w:val="Compact"/>
                    <w:jc w:val="right"/>
                    <w:jc w:val="center"/>
                  </w:pPr>
                  <w:r>
                    <w:t xml:space="preserve">55.5599</w:t>
                  </w:r>
                </w:p>
              </w:tc>
              <w:tc>
                <w:tcPr/>
                <w:p>
                  <w:pPr>
                    <w:pStyle w:val="Compact"/>
                    <w:jc w:val="right"/>
                    <w:jc w:val="center"/>
                  </w:pPr>
                  <w:r>
                    <w:t xml:space="preserve">36.001</w:t>
                  </w:r>
                </w:p>
              </w:tc>
            </w:tr>
          </w:tbl>
          <w:bookmarkEnd w:id="117"/>
          <w:p/>
        </w:tc>
      </w:tr>
    </w:tbl>
    <w:tbl>
      <w:tblPr>
        <w:tblStyle w:val="Table"/>
        <w:tblW w:type="pct" w:w="5000"/>
        <w:tblLayout w:type="fixed"/>
        <w:tblLook w:firstRow="0" w:lastRow="0" w:firstColumn="0" w:lastColumn="0" w:noHBand="0" w:noVBand="0" w:val="0000"/>
      </w:tblPr>
      <w:tblGrid>
        <w:gridCol w:w="7920"/>
      </w:tblGrid>
      <w:tr>
        <w:tc>
          <w:tcPr/>
          <w:bookmarkStart w:id="118"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r>
                    <w:t xml:space="preserve">​</w:t>
                  </w:r>
                </w:p>
              </w:tc>
              <w:tc>
                <w:tcPr/>
                <w:p>
                  <w:pPr>
                    <w:pStyle w:val="Compact"/>
                    <w:jc w:val="right"/>
                    <w:jc w:val="center"/>
                  </w:pPr>
                  <w:r>
                    <w:t xml:space="preserve">2.082</w:t>
                  </w:r>
                </w:p>
              </w:tc>
              <w:tc>
                <w:tcPr/>
                <w:p>
                  <w:pPr>
                    <w:pStyle w:val="Compact"/>
                    <w:jc w:val="right"/>
                    <w:jc w:val="center"/>
                  </w:pPr>
                  <w:r>
                    <w:t xml:space="preserve">0.248</w:t>
                  </w:r>
                </w:p>
              </w:tc>
              <w:tc>
                <w:tcPr/>
                <w:p>
                  <w:pPr>
                    <w:pStyle w:val="Compact"/>
                    <w:jc w:val="right"/>
                    <w:jc w:val="center"/>
                  </w:pPr>
                  <w:r>
                    <w:t xml:space="preserve">1.603</w:t>
                  </w:r>
                </w:p>
              </w:tc>
              <w:tc>
                <w:tcPr/>
                <w:p>
                  <w:pPr>
                    <w:pStyle w:val="Compact"/>
                    <w:jc w:val="right"/>
                    <w:jc w:val="center"/>
                  </w:pPr>
                  <w:r>
                    <w:t xml:space="preserve">2.577</w:t>
                  </w:r>
                </w:p>
              </w:tc>
            </w:tr>
            <w:tr>
              <w:tc>
                <w:tcPr/>
                <w:p>
                  <w:pPr>
                    <w:pStyle w:val="Compact"/>
                    <w:jc w:val="left"/>
                    <w:jc w:val="center"/>
                  </w:pPr>
                  <m:oMath>
                    <m:sSub>
                      <m:e>
                        <m:r>
                          <m:t>β</m:t>
                        </m:r>
                      </m:e>
                      <m:sub>
                        <m:r>
                          <m:t>O</m:t>
                        </m:r>
                        <m:r>
                          <m:rPr>
                            <m:sty m:val="p"/>
                          </m:rPr>
                          <m:t>=</m:t>
                        </m:r>
                        <m:r>
                          <m:t>1</m:t>
                        </m:r>
                      </m:sub>
                    </m:sSub>
                  </m:oMath>
                  <w:r>
                    <w:t xml:space="preserve">​</w:t>
                  </w:r>
                </w:p>
              </w:tc>
              <w:tc>
                <w:tcPr/>
                <w:p>
                  <w:pPr>
                    <w:pStyle w:val="Compact"/>
                    <w:jc w:val="right"/>
                    <w:jc w:val="center"/>
                  </w:pPr>
                  <w:r>
                    <w:t xml:space="preserve">-2.371</w:t>
                  </w:r>
                </w:p>
              </w:tc>
              <w:tc>
                <w:tcPr/>
                <w:p>
                  <w:pPr>
                    <w:pStyle w:val="Compact"/>
                    <w:jc w:val="right"/>
                    <w:jc w:val="center"/>
                  </w:pPr>
                  <w:r>
                    <w:t xml:space="preserve">0.987</w:t>
                  </w:r>
                </w:p>
              </w:tc>
              <w:tc>
                <w:tcPr/>
                <w:p>
                  <w:pPr>
                    <w:pStyle w:val="Compact"/>
                    <w:jc w:val="right"/>
                    <w:jc w:val="center"/>
                  </w:pPr>
                  <w:r>
                    <w:t xml:space="preserve">-4.194</w:t>
                  </w:r>
                </w:p>
              </w:tc>
              <w:tc>
                <w:tcPr/>
                <w:p>
                  <w:pPr>
                    <w:pStyle w:val="Compact"/>
                    <w:jc w:val="right"/>
                    <w:jc w:val="center"/>
                  </w:pPr>
                  <w:r>
                    <w:t xml:space="preserve">-0.381</w:t>
                  </w:r>
                </w:p>
              </w:tc>
            </w:tr>
            <w:tr>
              <w:tc>
                <w:tcPr/>
                <w:p>
                  <w:pPr>
                    <w:pStyle w:val="Compact"/>
                    <w:jc w:val="left"/>
                    <w:jc w:val="center"/>
                  </w:pPr>
                  <m:oMath>
                    <m:sSub>
                      <m:e>
                        <m:r>
                          <m:t>β</m:t>
                        </m:r>
                      </m:e>
                      <m:sub>
                        <m:r>
                          <m:t>O</m:t>
                        </m:r>
                        <m:r>
                          <m:rPr>
                            <m:sty m:val="p"/>
                          </m:rPr>
                          <m:t>=</m:t>
                        </m:r>
                        <m:r>
                          <m:t>2</m:t>
                        </m:r>
                      </m:sub>
                    </m:sSub>
                  </m:oMath>
                  <w:r>
                    <w:t xml:space="preserve">​</w:t>
                  </w:r>
                </w:p>
              </w:tc>
              <w:tc>
                <w:tcPr/>
                <w:p>
                  <w:pPr>
                    <w:pStyle w:val="Compact"/>
                    <w:jc w:val="right"/>
                    <w:jc w:val="center"/>
                  </w:pPr>
                  <w:r>
                    <w:t xml:space="preserve">-1.611</w:t>
                  </w:r>
                </w:p>
              </w:tc>
              <w:tc>
                <w:tcPr/>
                <w:p>
                  <w:pPr>
                    <w:pStyle w:val="Compact"/>
                    <w:jc w:val="right"/>
                    <w:jc w:val="center"/>
                  </w:pPr>
                  <w:r>
                    <w:t xml:space="preserve">0.955</w:t>
                  </w:r>
                </w:p>
              </w:tc>
              <w:tc>
                <w:tcPr/>
                <w:p>
                  <w:pPr>
                    <w:pStyle w:val="Compact"/>
                    <w:jc w:val="right"/>
                    <w:jc w:val="center"/>
                  </w:pPr>
                  <w:r>
                    <w:t xml:space="preserve">-3.537</w:t>
                  </w:r>
                </w:p>
              </w:tc>
              <w:tc>
                <w:tcPr/>
                <w:p>
                  <w:pPr>
                    <w:pStyle w:val="Compact"/>
                    <w:jc w:val="right"/>
                    <w:jc w:val="center"/>
                  </w:pPr>
                  <w:r>
                    <w:t xml:space="preserve">0.17</w:t>
                  </w:r>
                </w:p>
              </w:tc>
            </w:tr>
            <w:tr>
              <w:tc>
                <w:tcPr/>
                <w:p>
                  <w:pPr>
                    <w:pStyle w:val="Compact"/>
                    <w:jc w:val="left"/>
                    <w:jc w:val="center"/>
                  </w:pPr>
                  <m:oMath>
                    <m:sSub>
                      <m:e>
                        <m:r>
                          <m:t>β</m:t>
                        </m:r>
                      </m:e>
                      <m:sub>
                        <m:r>
                          <m:t>O</m:t>
                        </m:r>
                        <m:r>
                          <m:rPr>
                            <m:sty m:val="p"/>
                          </m:rPr>
                          <m:t>=</m:t>
                        </m:r>
                        <m:r>
                          <m:t>3</m:t>
                        </m:r>
                      </m:sub>
                    </m:sSub>
                  </m:oMath>
                  <w:r>
                    <w:t xml:space="preserve">​</w:t>
                  </w:r>
                </w:p>
              </w:tc>
              <w:tc>
                <w:tcPr/>
                <w:p>
                  <w:pPr>
                    <w:pStyle w:val="Compact"/>
                    <w:jc w:val="right"/>
                    <w:jc w:val="center"/>
                  </w:pPr>
                  <w:r>
                    <w:t xml:space="preserve">1.656</w:t>
                  </w:r>
                </w:p>
              </w:tc>
              <w:tc>
                <w:tcPr/>
                <w:p>
                  <w:pPr>
                    <w:pStyle w:val="Compact"/>
                    <w:jc w:val="right"/>
                    <w:jc w:val="center"/>
                  </w:pPr>
                  <w:r>
                    <w:t xml:space="preserve">0.958</w:t>
                  </w:r>
                </w:p>
              </w:tc>
              <w:tc>
                <w:tcPr/>
                <w:p>
                  <w:pPr>
                    <w:pStyle w:val="Compact"/>
                    <w:jc w:val="right"/>
                    <w:jc w:val="center"/>
                  </w:pPr>
                  <w:r>
                    <w:t xml:space="preserve">-0.092</w:t>
                  </w:r>
                </w:p>
              </w:tc>
              <w:tc>
                <w:tcPr/>
                <w:p>
                  <w:pPr>
                    <w:pStyle w:val="Compact"/>
                    <w:jc w:val="right"/>
                    <w:jc w:val="center"/>
                  </w:pPr>
                  <w:r>
                    <w:t xml:space="preserve">3.611</w:t>
                  </w:r>
                </w:p>
              </w:tc>
            </w:tr>
            <w:tr>
              <w:tc>
                <w:tcPr/>
                <w:p>
                  <w:pPr>
                    <w:pStyle w:val="Compact"/>
                    <w:jc w:val="left"/>
                    <w:jc w:val="center"/>
                  </w:pPr>
                  <m:oMath>
                    <m:sSub>
                      <m:e>
                        <m:r>
                          <m:t>β</m:t>
                        </m:r>
                      </m:e>
                      <m:sub>
                        <m:r>
                          <m:t>O</m:t>
                        </m:r>
                        <m:r>
                          <m:rPr>
                            <m:sty m:val="p"/>
                          </m:rPr>
                          <m:t>=</m:t>
                        </m:r>
                        <m:r>
                          <m:t>4</m:t>
                        </m:r>
                      </m:sub>
                    </m:sSub>
                  </m:oMath>
                  <w:r>
                    <w:t xml:space="preserve">​</w:t>
                  </w:r>
                </w:p>
              </w:tc>
              <w:tc>
                <w:tcPr/>
                <w:p>
                  <w:pPr>
                    <w:pStyle w:val="Compact"/>
                    <w:jc w:val="right"/>
                    <w:jc w:val="center"/>
                  </w:pPr>
                  <w:r>
                    <w:t xml:space="preserve">2.955</w:t>
                  </w:r>
                </w:p>
              </w:tc>
              <w:tc>
                <w:tcPr/>
                <w:p>
                  <w:pPr>
                    <w:pStyle w:val="Compact"/>
                    <w:jc w:val="right"/>
                    <w:jc w:val="center"/>
                  </w:pPr>
                  <w:r>
                    <w:t xml:space="preserve">0.985</w:t>
                  </w:r>
                </w:p>
              </w:tc>
              <w:tc>
                <w:tcPr/>
                <w:p>
                  <w:pPr>
                    <w:pStyle w:val="Compact"/>
                    <w:jc w:val="right"/>
                    <w:jc w:val="center"/>
                  </w:pPr>
                  <w:r>
                    <w:t xml:space="preserve">1.161</w:t>
                  </w:r>
                </w:p>
              </w:tc>
              <w:tc>
                <w:tcPr/>
                <w:p>
                  <w:pPr>
                    <w:pStyle w:val="Compact"/>
                    <w:jc w:val="right"/>
                    <w:jc w:val="center"/>
                  </w:pPr>
                  <w:r>
                    <w:t xml:space="preserve">4.979</w:t>
                  </w:r>
                </w:p>
              </w:tc>
            </w:tr>
            <w:tr>
              <w:tc>
                <w:tcPr/>
                <w:p>
                  <w:pPr>
                    <w:pStyle w:val="Compact"/>
                    <w:jc w:val="left"/>
                    <w:jc w:val="center"/>
                  </w:pPr>
                  <m:oMath>
                    <m:sSub>
                      <m:e>
                        <m:r>
                          <m:t>β</m:t>
                        </m:r>
                      </m:e>
                      <m:sub>
                        <m:r>
                          <m:t>C</m:t>
                        </m:r>
                        <m:r>
                          <m:t>C</m:t>
                        </m:r>
                        <m:r>
                          <m:rPr>
                            <m:sty m:val="p"/>
                          </m:rPr>
                          <m:t>=</m:t>
                        </m:r>
                        <m:r>
                          <m:t>1</m:t>
                        </m:r>
                      </m:sub>
                    </m:sSub>
                  </m:oMath>
                  <w:r>
                    <w:t xml:space="preserve">​</w:t>
                  </w:r>
                </w:p>
              </w:tc>
              <w:tc>
                <w:tcPr/>
                <w:p>
                  <w:pPr>
                    <w:pStyle w:val="Compact"/>
                    <w:jc w:val="right"/>
                    <w:jc w:val="center"/>
                  </w:pPr>
                  <w:r>
                    <w:t xml:space="preserve">0.724</w:t>
                  </w:r>
                </w:p>
              </w:tc>
              <w:tc>
                <w:tcPr/>
                <w:p>
                  <w:pPr>
                    <w:pStyle w:val="Compact"/>
                    <w:jc w:val="right"/>
                    <w:jc w:val="center"/>
                  </w:pPr>
                  <w:r>
                    <w:t xml:space="preserve">1.166</w:t>
                  </w:r>
                </w:p>
              </w:tc>
              <w:tc>
                <w:tcPr/>
                <w:p>
                  <w:pPr>
                    <w:pStyle w:val="Compact"/>
                    <w:jc w:val="right"/>
                    <w:jc w:val="center"/>
                  </w:pPr>
                  <w:r>
                    <w:t xml:space="preserve">-1.592</w:t>
                  </w:r>
                </w:p>
              </w:tc>
              <w:tc>
                <w:tcPr/>
                <w:p>
                  <w:pPr>
                    <w:pStyle w:val="Compact"/>
                    <w:jc w:val="right"/>
                    <w:jc w:val="center"/>
                  </w:pPr>
                  <w:r>
                    <w:t xml:space="preserve">2.884</w:t>
                  </w:r>
                </w:p>
              </w:tc>
            </w:tr>
            <w:tr>
              <w:tc>
                <w:tcPr/>
                <w:p>
                  <w:pPr>
                    <w:pStyle w:val="Compact"/>
                    <w:jc w:val="left"/>
                    <w:jc w:val="center"/>
                  </w:pPr>
                  <m:oMath>
                    <m:sSub>
                      <m:e>
                        <m:r>
                          <m:t>β</m:t>
                        </m:r>
                      </m:e>
                      <m:sub>
                        <m:r>
                          <m:t>C</m:t>
                        </m:r>
                        <m:r>
                          <m:t>C</m:t>
                        </m:r>
                        <m:r>
                          <m:rPr>
                            <m:sty m:val="p"/>
                          </m:rPr>
                          <m:t>=</m:t>
                        </m:r>
                        <m:r>
                          <m:t>2</m:t>
                        </m:r>
                      </m:sub>
                    </m:sSub>
                  </m:oMath>
                  <w:r>
                    <w:t xml:space="preserve">​</w:t>
                  </w:r>
                </w:p>
              </w:tc>
              <w:tc>
                <w:tcPr/>
                <w:p>
                  <w:pPr>
                    <w:pStyle w:val="Compact"/>
                    <w:jc w:val="right"/>
                    <w:jc w:val="center"/>
                  </w:pPr>
                  <w:r>
                    <w:t xml:space="preserve">-0.178</w:t>
                  </w:r>
                </w:p>
              </w:tc>
              <w:tc>
                <w:tcPr/>
                <w:p>
                  <w:pPr>
                    <w:pStyle w:val="Compact"/>
                    <w:jc w:val="right"/>
                    <w:jc w:val="center"/>
                  </w:pPr>
                  <w:r>
                    <w:t xml:space="preserve">1.164</w:t>
                  </w:r>
                </w:p>
              </w:tc>
              <w:tc>
                <w:tcPr/>
                <w:p>
                  <w:pPr>
                    <w:pStyle w:val="Compact"/>
                    <w:jc w:val="right"/>
                    <w:jc w:val="center"/>
                  </w:pPr>
                  <w:r>
                    <w:t xml:space="preserve">-2.516</w:t>
                  </w:r>
                </w:p>
              </w:tc>
              <w:tc>
                <w:tcPr/>
                <w:p>
                  <w:pPr>
                    <w:pStyle w:val="Compact"/>
                    <w:jc w:val="right"/>
                    <w:jc w:val="center"/>
                  </w:pPr>
                  <w:r>
                    <w:t xml:space="preserve">1.955</w:t>
                  </w:r>
                </w:p>
              </w:tc>
            </w:tr>
            <w:tr>
              <w:tc>
                <w:tcPr/>
                <w:p>
                  <w:pPr>
                    <w:pStyle w:val="Compact"/>
                    <w:jc w:val="left"/>
                    <w:jc w:val="center"/>
                  </w:pPr>
                  <m:oMath>
                    <m:sSub>
                      <m:e>
                        <m:r>
                          <m:t>β</m:t>
                        </m:r>
                      </m:e>
                      <m:sub>
                        <m:r>
                          <m:t>F</m:t>
                        </m:r>
                        <m:r>
                          <m:t>C</m:t>
                        </m:r>
                        <m:r>
                          <m:rPr>
                            <m:sty m:val="p"/>
                          </m:rPr>
                          <m:t>=</m:t>
                        </m:r>
                        <m:r>
                          <m:t>1</m:t>
                        </m:r>
                      </m:sub>
                    </m:sSub>
                  </m:oMath>
                  <w:r>
                    <w:t xml:space="preserve">​</w:t>
                  </w:r>
                </w:p>
              </w:tc>
              <w:tc>
                <w:tcPr/>
                <w:p>
                  <w:pPr>
                    <w:pStyle w:val="Compact"/>
                    <w:jc w:val="right"/>
                    <w:jc w:val="center"/>
                  </w:pPr>
                  <w:r>
                    <w:t xml:space="preserve">0.416</w:t>
                  </w:r>
                </w:p>
              </w:tc>
              <w:tc>
                <w:tcPr/>
                <w:p>
                  <w:pPr>
                    <w:pStyle w:val="Compact"/>
                    <w:jc w:val="right"/>
                    <w:jc w:val="center"/>
                  </w:pPr>
                  <w:r>
                    <w:t xml:space="preserve">1.165</w:t>
                  </w:r>
                </w:p>
              </w:tc>
              <w:tc>
                <w:tcPr/>
                <w:p>
                  <w:pPr>
                    <w:pStyle w:val="Compact"/>
                    <w:jc w:val="right"/>
                    <w:jc w:val="center"/>
                  </w:pPr>
                  <w:r>
                    <w:t xml:space="preserve">-1.866</w:t>
                  </w:r>
                </w:p>
              </w:tc>
              <w:tc>
                <w:tcPr/>
                <w:p>
                  <w:pPr>
                    <w:pStyle w:val="Compact"/>
                    <w:jc w:val="right"/>
                    <w:jc w:val="center"/>
                  </w:pPr>
                  <w:r>
                    <w:t xml:space="preserve">2.711</w:t>
                  </w:r>
                </w:p>
              </w:tc>
            </w:tr>
            <w:tr>
              <w:tc>
                <w:tcPr/>
                <w:p>
                  <w:pPr>
                    <w:pStyle w:val="Compact"/>
                    <w:jc w:val="left"/>
                    <w:jc w:val="center"/>
                  </w:pPr>
                  <m:oMath>
                    <m:sSub>
                      <m:e>
                        <m:r>
                          <m:t>β</m:t>
                        </m:r>
                      </m:e>
                      <m:sub>
                        <m:r>
                          <m:t>F</m:t>
                        </m:r>
                        <m:r>
                          <m:t>C</m:t>
                        </m:r>
                        <m:r>
                          <m:rPr>
                            <m:sty m:val="p"/>
                          </m:rPr>
                          <m:t>=</m:t>
                        </m:r>
                        <m:r>
                          <m:t>2</m:t>
                        </m:r>
                      </m:sub>
                    </m:sSub>
                  </m:oMath>
                  <w:r>
                    <w:t xml:space="preserve">​</w:t>
                  </w:r>
                </w:p>
              </w:tc>
              <w:tc>
                <w:tcPr/>
                <w:p>
                  <w:pPr>
                    <w:pStyle w:val="Compact"/>
                    <w:jc w:val="right"/>
                    <w:jc w:val="center"/>
                  </w:pPr>
                  <w:r>
                    <w:t xml:space="preserve">0.176</w:t>
                  </w:r>
                </w:p>
              </w:tc>
              <w:tc>
                <w:tcPr/>
                <w:p>
                  <w:pPr>
                    <w:pStyle w:val="Compact"/>
                    <w:jc w:val="right"/>
                    <w:jc w:val="center"/>
                  </w:pPr>
                  <w:r>
                    <w:t xml:space="preserve">1.164</w:t>
                  </w:r>
                </w:p>
              </w:tc>
              <w:tc>
                <w:tcPr/>
                <w:p>
                  <w:pPr>
                    <w:pStyle w:val="Compact"/>
                    <w:jc w:val="right"/>
                    <w:jc w:val="center"/>
                  </w:pPr>
                  <w:r>
                    <w:t xml:space="preserve">-2.219</w:t>
                  </w:r>
                </w:p>
              </w:tc>
              <w:tc>
                <w:tcPr/>
                <w:p>
                  <w:pPr>
                    <w:pStyle w:val="Compact"/>
                    <w:jc w:val="right"/>
                    <w:jc w:val="center"/>
                  </w:pPr>
                  <w:r>
                    <w:t xml:space="preserve">2.381</w:t>
                  </w:r>
                </w:p>
              </w:tc>
            </w:tr>
            <w:tr>
              <w:tc>
                <w:tcPr/>
                <w:p>
                  <w:pPr>
                    <w:pStyle w:val="Compact"/>
                    <w:jc w:val="left"/>
                    <w:jc w:val="center"/>
                  </w:pPr>
                  <m:oMath>
                    <m:sSub>
                      <m:e>
                        <m:r>
                          <m:t>β</m:t>
                        </m:r>
                      </m:e>
                      <m:sub>
                        <m:r>
                          <m:t>E</m:t>
                        </m:r>
                        <m:r>
                          <m:rPr>
                            <m:sty m:val="p"/>
                          </m:rPr>
                          <m:t>=</m:t>
                        </m:r>
                        <m:r>
                          <m:t>0</m:t>
                        </m:r>
                      </m:sub>
                    </m:sSub>
                  </m:oMath>
                  <w:r>
                    <w:t xml:space="preserve">​</w:t>
                  </w:r>
                </w:p>
              </w:tc>
              <w:tc>
                <w:tcPr/>
                <w:p>
                  <w:pPr>
                    <w:pStyle w:val="Compact"/>
                    <w:jc w:val="right"/>
                    <w:jc w:val="center"/>
                  </w:pPr>
                  <w:r>
                    <w:t xml:space="preserve">-4.429</w:t>
                  </w:r>
                </w:p>
              </w:tc>
              <w:tc>
                <w:tcPr/>
                <w:p>
                  <w:pPr>
                    <w:pStyle w:val="Compact"/>
                    <w:jc w:val="right"/>
                    <w:jc w:val="center"/>
                  </w:pPr>
                  <w:r>
                    <w:t xml:space="preserve">0.932</w:t>
                  </w:r>
                </w:p>
              </w:tc>
              <w:tc>
                <w:tcPr/>
                <w:p>
                  <w:pPr>
                    <w:pStyle w:val="Compact"/>
                    <w:jc w:val="right"/>
                    <w:jc w:val="center"/>
                  </w:pPr>
                  <w:r>
                    <w:t xml:space="preserve">-6.266</w:t>
                  </w:r>
                </w:p>
              </w:tc>
              <w:tc>
                <w:tcPr/>
                <w:p>
                  <w:pPr>
                    <w:pStyle w:val="Compact"/>
                    <w:jc w:val="right"/>
                    <w:jc w:val="center"/>
                  </w:pPr>
                  <w:r>
                    <w:t xml:space="preserve">-2.666</w:t>
                  </w:r>
                </w:p>
              </w:tc>
            </w:tr>
            <w:tr>
              <w:tc>
                <w:tcPr/>
                <w:p>
                  <w:pPr>
                    <w:pStyle w:val="Compact"/>
                    <w:jc w:val="left"/>
                    <w:jc w:val="center"/>
                  </w:pPr>
                  <m:oMath>
                    <m:sSub>
                      <m:e>
                        <m:r>
                          <m:t>β</m:t>
                        </m:r>
                      </m:e>
                      <m:sub>
                        <m:r>
                          <m:t>E</m:t>
                        </m:r>
                        <m:r>
                          <m:rPr>
                            <m:sty m:val="p"/>
                          </m:rPr>
                          <m:t>=</m:t>
                        </m:r>
                        <m:r>
                          <m:t>1</m:t>
                        </m:r>
                      </m:sub>
                    </m:sSub>
                  </m:oMath>
                  <w:r>
                    <w:t xml:space="preserve">​</w:t>
                  </w:r>
                </w:p>
              </w:tc>
              <w:tc>
                <w:tcPr/>
                <w:p>
                  <w:pPr>
                    <w:pStyle w:val="Compact"/>
                    <w:jc w:val="right"/>
                    <w:jc w:val="center"/>
                  </w:pPr>
                  <w:r>
                    <w:t xml:space="preserve">-0.442</w:t>
                  </w:r>
                </w:p>
              </w:tc>
              <w:tc>
                <w:tcPr/>
                <w:p>
                  <w:pPr>
                    <w:pStyle w:val="Compact"/>
                    <w:jc w:val="right"/>
                    <w:jc w:val="center"/>
                  </w:pPr>
                  <w:r>
                    <w:t xml:space="preserve">0.774</w:t>
                  </w:r>
                </w:p>
              </w:tc>
              <w:tc>
                <w:tcPr/>
                <w:p>
                  <w:pPr>
                    <w:pStyle w:val="Compact"/>
                    <w:jc w:val="right"/>
                    <w:jc w:val="center"/>
                  </w:pPr>
                  <w:r>
                    <w:t xml:space="preserve">-1.88</w:t>
                  </w:r>
                </w:p>
              </w:tc>
              <w:tc>
                <w:tcPr/>
                <w:p>
                  <w:pPr>
                    <w:pStyle w:val="Compact"/>
                    <w:jc w:val="right"/>
                    <w:jc w:val="center"/>
                  </w:pPr>
                  <w:r>
                    <w:t xml:space="preserve">1.137</w:t>
                  </w:r>
                </w:p>
              </w:tc>
            </w:tr>
            <w:tr>
              <w:tc>
                <w:tcPr/>
                <w:p>
                  <w:pPr>
                    <w:pStyle w:val="Compact"/>
                    <w:jc w:val="left"/>
                    <w:jc w:val="center"/>
                  </w:pPr>
                  <m:oMath>
                    <m:sSub>
                      <m:e>
                        <m:r>
                          <m:t>β</m:t>
                        </m:r>
                      </m:e>
                      <m:sub>
                        <m:r>
                          <m:t>E</m:t>
                        </m:r>
                        <m:r>
                          <m:rPr>
                            <m:sty m:val="p"/>
                          </m:rPr>
                          <m:t>=</m:t>
                        </m:r>
                        <m:r>
                          <m:t>2</m:t>
                        </m:r>
                      </m:sub>
                    </m:sSub>
                  </m:oMath>
                  <w:r>
                    <w:t xml:space="preserve">​</w:t>
                  </w:r>
                </w:p>
              </w:tc>
              <w:tc>
                <w:tcPr/>
                <w:p>
                  <w:pPr>
                    <w:pStyle w:val="Compact"/>
                    <w:jc w:val="right"/>
                    <w:jc w:val="center"/>
                  </w:pPr>
                  <w:r>
                    <w:t xml:space="preserve">0.018</w:t>
                  </w:r>
                </w:p>
              </w:tc>
              <w:tc>
                <w:tcPr/>
                <w:p>
                  <w:pPr>
                    <w:pStyle w:val="Compact"/>
                    <w:jc w:val="right"/>
                    <w:jc w:val="center"/>
                  </w:pPr>
                  <w:r>
                    <w:t xml:space="preserve">0.732</w:t>
                  </w:r>
                </w:p>
              </w:tc>
              <w:tc>
                <w:tcPr/>
                <w:p>
                  <w:pPr>
                    <w:pStyle w:val="Compact"/>
                    <w:jc w:val="right"/>
                    <w:jc w:val="center"/>
                  </w:pPr>
                  <w:r>
                    <w:t xml:space="preserve">-1.397</w:t>
                  </w:r>
                </w:p>
              </w:tc>
              <w:tc>
                <w:tcPr/>
                <w:p>
                  <w:pPr>
                    <w:pStyle w:val="Compact"/>
                    <w:jc w:val="right"/>
                    <w:jc w:val="center"/>
                  </w:pPr>
                  <w:r>
                    <w:t xml:space="preserve">1.421</w:t>
                  </w:r>
                </w:p>
              </w:tc>
            </w:tr>
            <w:tr>
              <w:tc>
                <w:tcPr/>
                <w:p>
                  <w:pPr>
                    <w:pStyle w:val="Compact"/>
                    <w:jc w:val="left"/>
                    <w:jc w:val="center"/>
                  </w:pPr>
                  <m:oMath>
                    <m:sSub>
                      <m:e>
                        <m:r>
                          <m:t>β</m:t>
                        </m:r>
                      </m:e>
                      <m:sub>
                        <m:r>
                          <m:t>E</m:t>
                        </m:r>
                        <m:r>
                          <m:rPr>
                            <m:sty m:val="p"/>
                          </m:rPr>
                          <m:t>=</m:t>
                        </m:r>
                        <m:r>
                          <m:t>3</m:t>
                        </m:r>
                      </m:sub>
                    </m:sSub>
                  </m:oMath>
                  <w:r>
                    <w:t xml:space="preserve">​</w:t>
                  </w:r>
                </w:p>
              </w:tc>
              <w:tc>
                <w:tcPr/>
                <w:p>
                  <w:pPr>
                    <w:pStyle w:val="Compact"/>
                    <w:jc w:val="right"/>
                    <w:jc w:val="center"/>
                  </w:pPr>
                  <w:r>
                    <w:t xml:space="preserve">0.237</w:t>
                  </w:r>
                </w:p>
              </w:tc>
              <w:tc>
                <w:tcPr/>
                <w:p>
                  <w:pPr>
                    <w:pStyle w:val="Compact"/>
                    <w:jc w:val="right"/>
                    <w:jc w:val="center"/>
                  </w:pPr>
                  <w:r>
                    <w:t xml:space="preserve">0.733</w:t>
                  </w:r>
                </w:p>
              </w:tc>
              <w:tc>
                <w:tcPr/>
                <w:p>
                  <w:pPr>
                    <w:pStyle w:val="Compact"/>
                    <w:jc w:val="right"/>
                    <w:jc w:val="center"/>
                  </w:pPr>
                  <w:r>
                    <w:t xml:space="preserve">-1.069</w:t>
                  </w:r>
                </w:p>
              </w:tc>
              <w:tc>
                <w:tcPr/>
                <w:p>
                  <w:pPr>
                    <w:pStyle w:val="Compact"/>
                    <w:jc w:val="right"/>
                    <w:jc w:val="center"/>
                  </w:pPr>
                  <w:r>
                    <w:t xml:space="preserve">1.747</w:t>
                  </w:r>
                </w:p>
              </w:tc>
            </w:tr>
            <w:tr>
              <w:tc>
                <w:tcPr/>
                <w:p>
                  <w:pPr>
                    <w:pStyle w:val="Compact"/>
                    <w:jc w:val="left"/>
                    <w:jc w:val="center"/>
                  </w:pPr>
                  <m:oMath>
                    <m:sSub>
                      <m:e>
                        <m:r>
                          <m:t>β</m:t>
                        </m:r>
                      </m:e>
                      <m:sub>
                        <m:r>
                          <m:t>E</m:t>
                        </m:r>
                        <m:r>
                          <m:rPr>
                            <m:sty m:val="p"/>
                          </m:rPr>
                          <m:t>=</m:t>
                        </m:r>
                        <m:r>
                          <m:t>4</m:t>
                        </m:r>
                      </m:sub>
                    </m:sSub>
                  </m:oMath>
                  <w:r>
                    <w:t xml:space="preserve">​</w:t>
                  </w:r>
                </w:p>
              </w:tc>
              <w:tc>
                <w:tcPr/>
                <w:p>
                  <w:pPr>
                    <w:pStyle w:val="Compact"/>
                    <w:jc w:val="right"/>
                    <w:jc w:val="center"/>
                  </w:pPr>
                  <w:r>
                    <w:t xml:space="preserve">0.337</w:t>
                  </w:r>
                </w:p>
              </w:tc>
              <w:tc>
                <w:tcPr/>
                <w:p>
                  <w:pPr>
                    <w:pStyle w:val="Compact"/>
                    <w:jc w:val="right"/>
                    <w:jc w:val="center"/>
                  </w:pPr>
                  <w:r>
                    <w:t xml:space="preserve">0.74</w:t>
                  </w:r>
                </w:p>
              </w:tc>
              <w:tc>
                <w:tcPr/>
                <w:p>
                  <w:pPr>
                    <w:pStyle w:val="Compact"/>
                    <w:jc w:val="right"/>
                    <w:jc w:val="center"/>
                  </w:pPr>
                  <w:r>
                    <w:t xml:space="preserve">-0.991</w:t>
                  </w:r>
                </w:p>
              </w:tc>
              <w:tc>
                <w:tcPr/>
                <w:p>
                  <w:pPr>
                    <w:pStyle w:val="Compact"/>
                    <w:jc w:val="right"/>
                    <w:jc w:val="center"/>
                  </w:pPr>
                  <w:r>
                    <w:t xml:space="preserve">1.856</w:t>
                  </w:r>
                </w:p>
              </w:tc>
            </w:tr>
            <w:tr>
              <w:tc>
                <w:tcPr/>
                <w:p>
                  <w:pPr>
                    <w:pStyle w:val="Compact"/>
                    <w:jc w:val="left"/>
                    <w:jc w:val="center"/>
                  </w:pPr>
                  <m:oMath>
                    <m:sSub>
                      <m:e>
                        <m:r>
                          <m:t>β</m:t>
                        </m:r>
                      </m:e>
                      <m:sub>
                        <m:r>
                          <m:t>E</m:t>
                        </m:r>
                        <m:r>
                          <m:rPr>
                            <m:sty m:val="p"/>
                          </m:rPr>
                          <m:t>=</m:t>
                        </m:r>
                        <m:r>
                          <m:t>5</m:t>
                        </m:r>
                      </m:sub>
                    </m:sSub>
                  </m:oMath>
                  <w:r>
                    <w:t xml:space="preserve">​</w:t>
                  </w:r>
                </w:p>
              </w:tc>
              <w:tc>
                <w:tcPr/>
                <w:p>
                  <w:pPr>
                    <w:pStyle w:val="Compact"/>
                    <w:jc w:val="right"/>
                    <w:jc w:val="center"/>
                  </w:pPr>
                  <w:r>
                    <w:t xml:space="preserve">0.829</w:t>
                  </w:r>
                </w:p>
              </w:tc>
              <w:tc>
                <w:tcPr/>
                <w:p>
                  <w:pPr>
                    <w:pStyle w:val="Compact"/>
                    <w:jc w:val="right"/>
                    <w:jc w:val="center"/>
                  </w:pPr>
                  <w:r>
                    <w:t xml:space="preserve">0.753</w:t>
                  </w:r>
                </w:p>
              </w:tc>
              <w:tc>
                <w:tcPr/>
                <w:p>
                  <w:pPr>
                    <w:pStyle w:val="Compact"/>
                    <w:jc w:val="right"/>
                    <w:jc w:val="center"/>
                  </w:pPr>
                  <w:r>
                    <w:t xml:space="preserve">-0.569</w:t>
                  </w:r>
                </w:p>
              </w:tc>
              <w:tc>
                <w:tcPr/>
                <w:p>
                  <w:pPr>
                    <w:pStyle w:val="Compact"/>
                    <w:jc w:val="right"/>
                    <w:jc w:val="center"/>
                  </w:pPr>
                  <w:r>
                    <w:t xml:space="preserve">2.323</w:t>
                  </w:r>
                </w:p>
              </w:tc>
            </w:tr>
            <w:tr>
              <w:tc>
                <w:tcPr/>
                <w:p>
                  <w:pPr>
                    <w:pStyle w:val="Compact"/>
                    <w:jc w:val="left"/>
                    <w:jc w:val="center"/>
                  </w:pPr>
                  <m:oMath>
                    <m:sSub>
                      <m:e>
                        <m:r>
                          <m:t>β</m:t>
                        </m:r>
                      </m:e>
                      <m:sub>
                        <m:r>
                          <m:t>E</m:t>
                        </m:r>
                        <m:r>
                          <m:rPr>
                            <m:sty m:val="p"/>
                          </m:rPr>
                          <m:t>=</m:t>
                        </m:r>
                        <m:r>
                          <m:t>6</m:t>
                        </m:r>
                      </m:sub>
                    </m:sSub>
                  </m:oMath>
                  <w:r>
                    <w:t xml:space="preserve">​</w:t>
                  </w:r>
                </w:p>
              </w:tc>
              <w:tc>
                <w:tcPr/>
                <w:p>
                  <w:pPr>
                    <w:pStyle w:val="Compact"/>
                    <w:jc w:val="right"/>
                    <w:jc w:val="center"/>
                  </w:pPr>
                  <w:r>
                    <w:t xml:space="preserve">4.248</w:t>
                  </w:r>
                </w:p>
              </w:tc>
              <w:tc>
                <w:tcPr/>
                <w:p>
                  <w:pPr>
                    <w:pStyle w:val="Compact"/>
                    <w:jc w:val="right"/>
                    <w:jc w:val="center"/>
                  </w:pPr>
                  <w:r>
                    <w:t xml:space="preserve">0.962</w:t>
                  </w:r>
                </w:p>
              </w:tc>
              <w:tc>
                <w:tcPr/>
                <w:p>
                  <w:pPr>
                    <w:pStyle w:val="Compact"/>
                    <w:jc w:val="right"/>
                    <w:jc w:val="center"/>
                  </w:pPr>
                  <w:r>
                    <w:t xml:space="preserve">2.465</w:t>
                  </w:r>
                </w:p>
              </w:tc>
              <w:tc>
                <w:tcPr/>
                <w:p>
                  <w:pPr>
                    <w:pStyle w:val="Compact"/>
                    <w:jc w:val="right"/>
                    <w:jc w:val="center"/>
                  </w:pPr>
                  <w:r>
                    <w:t xml:space="preserve">6.186</w:t>
                  </w:r>
                </w:p>
              </w:tc>
            </w:tr>
            <w:tr>
              <w:tc>
                <w:tcPr/>
                <w:p>
                  <w:pPr>
                    <w:pStyle w:val="Compact"/>
                    <w:jc w:val="left"/>
                    <w:jc w:val="center"/>
                  </w:pPr>
                  <m:oMath>
                    <m:sSub>
                      <m:e>
                        <m:r>
                          <m:t>β</m:t>
                        </m:r>
                      </m:e>
                      <m:sub>
                        <m:r>
                          <m:t>m</m:t>
                        </m:r>
                        <m:r>
                          <m:t>o</m:t>
                        </m:r>
                        <m:r>
                          <m:t>d</m:t>
                        </m:r>
                        <m:r>
                          <m:t>u</m:t>
                        </m:r>
                        <m:r>
                          <m:t>l</m:t>
                        </m:r>
                        <m:r>
                          <m:t>a</m:t>
                        </m:r>
                        <m:r>
                          <m:t>t</m:t>
                        </m:r>
                        <m:r>
                          <m:t>i</m:t>
                        </m:r>
                        <m:r>
                          <m:t>o</m:t>
                        </m:r>
                        <m:r>
                          <m:t>n</m:t>
                        </m:r>
                      </m:sub>
                    </m:sSub>
                  </m:oMath>
                  <w:r>
                    <w:t xml:space="preserve">​</w:t>
                  </w:r>
                </w:p>
              </w:tc>
              <w:tc>
                <w:tcPr/>
                <w:p>
                  <w:pPr>
                    <w:pStyle w:val="Compact"/>
                    <w:jc w:val="right"/>
                    <w:jc w:val="center"/>
                  </w:pPr>
                  <w:r>
                    <w:t xml:space="preserve">1.264</w:t>
                  </w:r>
                </w:p>
              </w:tc>
              <w:tc>
                <w:tcPr/>
                <w:p>
                  <w:pPr>
                    <w:pStyle w:val="Compact"/>
                    <w:jc w:val="right"/>
                    <w:jc w:val="center"/>
                  </w:pPr>
                  <w:r>
                    <w:t xml:space="preserve">0.513</w:t>
                  </w:r>
                </w:p>
              </w:tc>
              <w:tc>
                <w:tcPr/>
                <w:p>
                  <w:pPr>
                    <w:pStyle w:val="Compact"/>
                    <w:jc w:val="right"/>
                    <w:jc w:val="center"/>
                  </w:pPr>
                  <w:r>
                    <w:t xml:space="preserve">0.308</w:t>
                  </w:r>
                </w:p>
              </w:tc>
              <w:tc>
                <w:tcPr/>
                <w:p>
                  <w:pPr>
                    <w:pStyle w:val="Compact"/>
                    <w:jc w:val="right"/>
                    <w:jc w:val="center"/>
                  </w:pPr>
                  <w:r>
                    <w:t xml:space="preserve">2.294</w:t>
                  </w:r>
                </w:p>
              </w:tc>
            </w:tr>
          </w:tbl>
          <w:bookmarkEnd w:id="118"/>
          <w:p/>
        </w:tc>
      </w:tr>
    </w:tbl>
    <w:bookmarkEnd w:id="119"/>
    <w:bookmarkStart w:id="132" w:name="supplementary-model-comparison"/>
    <w:p>
      <w:pPr>
        <w:pStyle w:val="Heading3"/>
      </w:pPr>
      <w:r>
        <w:t xml:space="preserve">9.3 Supplementary model comparison</w:t>
      </w:r>
    </w:p>
    <w:bookmarkStart w:id="125" w:name="preferences-model-comparison"/>
    <w:p>
      <w:pPr>
        <w:pStyle w:val="Heading4"/>
      </w:pPr>
      <w:r>
        <w:t xml:space="preserve">9.3.1 Preferences model comparison:</w:t>
      </w:r>
    </w:p>
    <w:p>
      <w:pPr>
        <w:pStyle w:val="FirstParagraph"/>
      </w:pPr>
      <w:r>
        <w:t xml:space="preserve">The preference model was observed to fit the data best, showing that participants behavior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modulatory effect was fitted to highlight the increase in fit associated with the modulatory effect of preferences entropy on DV.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123" w:name="suppfig-preference_model_comparison"/>
          <w:p>
            <w:pPr>
              <w:pStyle w:val="Compact"/>
              <w:jc w:val="center"/>
            </w:pPr>
            <w:r>
              <w:drawing>
                <wp:inline>
                  <wp:extent cx="5334000" cy="4622320"/>
                  <wp:effectExtent b="0" l="0" r="0" t="0"/>
                  <wp:docPr descr="" title="" id="121" name="Picture"/>
                  <a:graphic>
                    <a:graphicData uri="http://schemas.openxmlformats.org/drawingml/2006/picture">
                      <pic:pic>
                        <pic:nvPicPr>
                          <pic:cNvPr descr="index_files/figure-docx/S2-choice_model_comparison-suppfig-preference_model_comparison-output-1.png" id="122" name="Picture"/>
                          <pic:cNvPicPr>
                            <a:picLocks noChangeArrowheads="1" noChangeAspect="1"/>
                          </pic:cNvPicPr>
                        </pic:nvPicPr>
                        <pic:blipFill>
                          <a:blip r:embed="rId120"/>
                          <a:stretch>
                            <a:fillRect/>
                          </a:stretch>
                        </pic:blipFill>
                        <pic:spPr bwMode="auto">
                          <a:xfrm>
                            <a:off x="0" y="0"/>
                            <a:ext cx="5334000" cy="462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(No_CC) model where current cost factor was omitted from preferences, (No_FC) model where future cost factor was omitted from preferences, (No_Planning) model where DV was omitted, (No_Energy) model where energy factor was omitted from preferences, (No_Offer) model where offer factor was omitted from preferences</w:t>
            </w:r>
          </w:p>
          <w:bookmarkEnd w:id="123"/>
        </w:tc>
      </w:tr>
    </w:tbl>
    <w:tbl>
      <w:tblPr>
        <w:tblStyle w:val="Table"/>
        <w:tblW w:type="pct" w:w="5000"/>
        <w:tblLayout w:type="fixed"/>
        <w:tblLook w:firstRow="0" w:lastRow="0" w:firstColumn="0" w:lastColumn="0" w:noHBand="0" w:noVBand="0" w:val="0000"/>
      </w:tblPr>
      <w:tblGrid>
        <w:gridCol w:w="7920"/>
      </w:tblGrid>
      <w:tr>
        <w:tc>
          <w:tcPr/>
          <w:bookmarkStart w:id="124"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No_Modulation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8.9671</w:t>
                  </w:r>
                </w:p>
              </w:tc>
              <w:tc>
                <w:tcPr/>
                <w:p>
                  <w:pPr>
                    <w:pStyle w:val="Compact"/>
                    <w:jc w:val="right"/>
                    <w:jc w:val="center"/>
                  </w:pPr>
                  <w:r>
                    <w:t xml:space="preserve">48.9103</w:t>
                  </w:r>
                </w:p>
              </w:tc>
              <w:tc>
                <w:tcPr/>
                <w:p>
                  <w:pPr>
                    <w:pStyle w:val="Compact"/>
                    <w:jc w:val="right"/>
                    <w:jc w:val="center"/>
                  </w:pPr>
                  <w:r>
                    <w:t xml:space="preserve">5.28966</w:t>
                  </w:r>
                </w:p>
              </w:tc>
            </w:tr>
            <w:tr>
              <w:tc>
                <w:tcPr/>
                <w:p>
                  <w:pPr>
                    <w:pStyle w:val="Compact"/>
                    <w:jc w:val="left"/>
                    <w:jc w:val="center"/>
                  </w:pPr>
                  <w:r>
                    <w:t xml:space="preserve">No_FC</w:t>
                  </w:r>
                </w:p>
              </w:tc>
              <w:tc>
                <w:tcPr/>
                <w:p>
                  <w:pPr>
                    <w:pStyle w:val="Compact"/>
                    <w:jc w:val="right"/>
                    <w:jc w:val="center"/>
                  </w:pPr>
                  <w:r>
                    <w:t xml:space="preserve">-1519.82</w:t>
                  </w:r>
                </w:p>
              </w:tc>
              <w:tc>
                <w:tcPr/>
                <w:p>
                  <w:pPr>
                    <w:pStyle w:val="Compact"/>
                    <w:jc w:val="right"/>
                    <w:jc w:val="center"/>
                  </w:pPr>
                  <w:r>
                    <w:t xml:space="preserve">229.718</w:t>
                  </w:r>
                </w:p>
              </w:tc>
              <w:tc>
                <w:tcPr/>
                <w:p>
                  <w:pPr>
                    <w:pStyle w:val="Compact"/>
                    <w:jc w:val="right"/>
                    <w:jc w:val="center"/>
                  </w:pPr>
                  <w:r>
                    <w:t xml:space="preserve">27.351</w:t>
                  </w:r>
                </w:p>
              </w:tc>
              <w:tc>
                <w:tcPr/>
                <w:p>
                  <w:pPr>
                    <w:pStyle w:val="Compact"/>
                    <w:jc w:val="right"/>
                    <w:jc w:val="center"/>
                  </w:pPr>
                  <w:r>
                    <w:t xml:space="preserve">48.6187</w:t>
                  </w:r>
                </w:p>
              </w:tc>
              <w:tc>
                <w:tcPr/>
                <w:p>
                  <w:pPr>
                    <w:pStyle w:val="Compact"/>
                    <w:jc w:val="right"/>
                    <w:jc w:val="center"/>
                  </w:pPr>
                  <w:r>
                    <w:t xml:space="preserve">7.56828</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47.0195</w:t>
                  </w:r>
                </w:p>
              </w:tc>
              <w:tc>
                <w:tcPr/>
                <w:p>
                  <w:pPr>
                    <w:pStyle w:val="Compact"/>
                    <w:jc w:val="right"/>
                    <w:jc w:val="center"/>
                  </w:pPr>
                  <w:r>
                    <w:t xml:space="preserve">49.8892</w:t>
                  </w:r>
                </w:p>
              </w:tc>
              <w:tc>
                <w:tcPr/>
                <w:p>
                  <w:pPr>
                    <w:pStyle w:val="Compact"/>
                    <w:jc w:val="right"/>
                    <w:jc w:val="center"/>
                  </w:pPr>
                  <w:r>
                    <w:t xml:space="preserve">9.74314</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88.758</w:t>
                  </w:r>
                </w:p>
              </w:tc>
              <w:tc>
                <w:tcPr/>
                <w:p>
                  <w:pPr>
                    <w:pStyle w:val="Compact"/>
                    <w:jc w:val="right"/>
                    <w:jc w:val="center"/>
                  </w:pPr>
                  <w:r>
                    <w:t xml:space="preserve">48.8039</w:t>
                  </w:r>
                </w:p>
              </w:tc>
              <w:tc>
                <w:tcPr/>
                <w:p>
                  <w:pPr>
                    <w:pStyle w:val="Compact"/>
                    <w:jc w:val="right"/>
                    <w:jc w:val="center"/>
                  </w:pPr>
                  <w:r>
                    <w:t xml:space="preserve">17.3434</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133.971</w:t>
                  </w:r>
                </w:p>
              </w:tc>
              <w:tc>
                <w:tcPr/>
                <w:p>
                  <w:pPr>
                    <w:pStyle w:val="Compact"/>
                    <w:jc w:val="right"/>
                    <w:jc w:val="center"/>
                  </w:pPr>
                  <w:r>
                    <w:t xml:space="preserve">51.5682</w:t>
                  </w:r>
                </w:p>
              </w:tc>
              <w:tc>
                <w:tcPr/>
                <w:p>
                  <w:pPr>
                    <w:pStyle w:val="Compact"/>
                    <w:jc w:val="right"/>
                    <w:jc w:val="center"/>
                  </w:pPr>
                  <w:r>
                    <w:t xml:space="preserve">17.7893</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137.365</w:t>
                  </w:r>
                </w:p>
              </w:tc>
              <w:tc>
                <w:tcPr/>
                <w:p>
                  <w:pPr>
                    <w:pStyle w:val="Compact"/>
                    <w:jc w:val="right"/>
                    <w:jc w:val="center"/>
                  </w:pPr>
                  <w:r>
                    <w:t xml:space="preserve">54.4382</w:t>
                  </w:r>
                </w:p>
              </w:tc>
              <w:tc>
                <w:tcPr/>
                <w:p>
                  <w:pPr>
                    <w:pStyle w:val="Compact"/>
                    <w:jc w:val="right"/>
                    <w:jc w:val="center"/>
                  </w:pPr>
                  <w:r>
                    <w:t xml:space="preserve">19.2265</w:t>
                  </w:r>
                </w:p>
              </w:tc>
            </w:tr>
          </w:tbl>
          <w:bookmarkEnd w:id="124"/>
          <w:p/>
        </w:tc>
      </w:tr>
    </w:tbl>
    <w:bookmarkEnd w:id="125"/>
    <w:bookmarkStart w:id="131" w:name="frequency-model-comparison"/>
    <w:p>
      <w:pPr>
        <w:pStyle w:val="Heading4"/>
      </w:pPr>
      <w:r>
        <w:t xml:space="preserve">9.3.2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with</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129" w:name="suppfig-frequency_model_comparison"/>
          <w:p>
            <w:pPr>
              <w:pStyle w:val="Compact"/>
              <w:jc w:val="center"/>
            </w:pPr>
            <w:r>
              <w:drawing>
                <wp:inline>
                  <wp:extent cx="5334000" cy="5418265"/>
                  <wp:effectExtent b="0" l="0" r="0" t="0"/>
                  <wp:docPr descr="" title="" id="127" name="Picture"/>
                  <a:graphic>
                    <a:graphicData uri="http://schemas.openxmlformats.org/drawingml/2006/picture">
                      <pic:pic>
                        <pic:nvPicPr>
                          <pic:cNvPr descr="index_files/figure-docx/S2-choice_model_comparison-suppfig-frequency_model_comparison-output-1.png" id="128" name="Picture"/>
                          <pic:cNvPicPr>
                            <a:picLocks noChangeArrowheads="1" noChangeAspect="1"/>
                          </pic:cNvPicPr>
                        </pic:nvPicPr>
                        <pic:blipFill>
                          <a:blip r:embed="rId126"/>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129"/>
        </w:tc>
      </w:tr>
    </w:tbl>
    <w:tbl>
      <w:tblPr>
        <w:tblStyle w:val="Table"/>
        <w:tblW w:type="pct" w:w="5000"/>
        <w:tblLayout w:type="fixed"/>
        <w:tblLook w:firstRow="0" w:lastRow="0" w:firstColumn="0" w:lastColumn="0" w:noHBand="0" w:noVBand="0" w:val="0000"/>
      </w:tblPr>
      <w:tblGrid>
        <w:gridCol w:w="7920"/>
      </w:tblGrid>
      <w:tr>
        <w:tc>
          <w:tcPr/>
          <w:bookmarkStart w:id="130"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130"/>
          <w:p/>
        </w:tc>
      </w:tr>
    </w:tbl>
    <w:bookmarkEnd w:id="131"/>
    <w:bookmarkEnd w:id="132"/>
    <w:bookmarkStart w:id="137" w:name="parameters-recovery"/>
    <w:p>
      <w:pPr>
        <w:pStyle w:val="Heading3"/>
      </w:pPr>
      <w:r>
        <w:t xml:space="preserve">9.4 Parameters recovery:</w:t>
      </w:r>
    </w:p>
    <w:p>
      <w:pPr>
        <w:pStyle w:val="FirstParagraph"/>
      </w:pPr>
      <w:r>
        <w:t xml:space="preserve">In the main text, the preference model was observed to fit participants behavior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136" w:name="suppfig-population_parameter_recovery"/>
          <w:p>
            <w:pPr>
              <w:pStyle w:val="Compact"/>
              <w:jc w:val="center"/>
            </w:pPr>
            <w:r>
              <w:drawing>
                <wp:inline>
                  <wp:extent cx="5334000" cy="3088579"/>
                  <wp:effectExtent b="0" l="0" r="0" t="0"/>
                  <wp:docPr descr="" title="" id="134" name="Picture"/>
                  <a:graphic>
                    <a:graphicData uri="http://schemas.openxmlformats.org/drawingml/2006/picture">
                      <pic:pic>
                        <pic:nvPicPr>
                          <pic:cNvPr descr="index_files/figure-docx/S3-parameters_recovery-suppfig-population_parameter_recovery-output-1.png" id="135" name="Picture"/>
                          <pic:cNvPicPr>
                            <a:picLocks noChangeArrowheads="1" noChangeAspect="1"/>
                          </pic:cNvPicPr>
                        </pic:nvPicPr>
                        <pic:blipFill>
                          <a:blip r:embed="rId133"/>
                          <a:stretch>
                            <a:fillRect/>
                          </a:stretch>
                        </pic:blipFill>
                        <pic:spPr bwMode="auto">
                          <a:xfrm>
                            <a:off x="0" y="0"/>
                            <a:ext cx="5334000" cy="30885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136"/>
        </w:tc>
      </w:tr>
    </w:tbl>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Task-structured preferences guide forward planning in sequential decision-making</dc:title>
  <dc:creator>Alex Lepauvre; Florian Ott; Stefan J. Kiebel</dc:creator>
  <cp:keywords>Decision making, Reinforcement learning</cp:keywords>
  <dcterms:created xsi:type="dcterms:W3CDTF">2026-10-02T06:57:04Z</dcterms:created>
  <dcterms:modified xsi:type="dcterms:W3CDTF">2026-10-02T06:57:04Z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2026-10-02</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