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Override PartName="/word/media/rId64.png" ContentType="image/png"/>
  <Override PartName="/word/media/rId78.png" ContentType="image/png"/>
  <Override PartName="/word/media/rId72.png" ContentType="image/png"/>
  <Override PartName="/word/media/rId85.png" ContentType="image/png"/>
  <Override PartName="/word/media/rId35.png" ContentType="image/png"/>
  <Override PartName="/word/media/rId39.png" ContentType="image/png"/>
  <Override PartName="/word/media/rId43.png" ContentType="image/png"/>
  <Override PartName="/word/media/rId5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2026-09-17</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10"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
    <w:bookmarkStart w:id="34" w:name="methods"/>
    <w:p>
      <w:pPr>
        <w:pStyle w:val="Heading2"/>
      </w:pPr>
      <w:r>
        <w:t xml:space="preserve">2 Methods</w:t>
      </w:r>
    </w:p>
    <w:bookmarkStart w:id="15" w:name="data"/>
    <w:p>
      <w:pPr>
        <w:pStyle w:val="Heading3"/>
      </w:pPr>
      <w:r>
        <w:t xml:space="preserve">2.1 Data</w:t>
      </w:r>
    </w:p>
    <w:p>
      <w:pPr>
        <w:pStyle w:val="FirstParagraph"/>
      </w:pPr>
      <w:r>
        <w:t xml:space="preserve">To test our hypothesis, we reused data from a previously published study by Ott and colleagues (2022a), in which 40 participants (22, mean age=24.4, SD=4.6)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tbl>
      <w:tblPr>
        <w:tblStyle w:val="Table"/>
        <w:tblW w:type="pct" w:w="5000"/>
        <w:tblLayout w:type="fixed"/>
        <w:tblLook w:firstRow="0" w:lastRow="0" w:firstColumn="0" w:lastColumn="0" w:noHBand="0" w:noVBand="0" w:val="0000"/>
      </w:tblPr>
      <w:tblGrid>
        <w:gridCol w:w="7920"/>
      </w:tblGrid>
      <w:tr>
        <w:tc>
          <w:tcPr/>
          <w:bookmarkStart w:id="14" w:name="fig-design"/>
          <w:p>
            <w:pPr>
              <w:pStyle w:val="Compact"/>
              <w:jc w:val="center"/>
            </w:pPr>
            <w:r>
              <w:drawing>
                <wp:inline>
                  <wp:extent cx="5025153" cy="3342010"/>
                  <wp:effectExtent b="0" l="0" r="0" t="0"/>
                  <wp:docPr descr="" title="" id="12" name="Picture"/>
                  <a:graphic>
                    <a:graphicData uri="http://schemas.openxmlformats.org/drawingml/2006/picture">
                      <pic:pic>
                        <pic:nvPicPr>
                          <pic:cNvPr descr="images/experimental_design.jpg" id="13" name="Picture"/>
                          <pic:cNvPicPr>
                            <a:picLocks noChangeArrowheads="1" noChangeAspect="1"/>
                          </pic:cNvPicPr>
                        </pic:nvPicPr>
                        <pic:blipFill>
                          <a:blip r:embed="rId11"/>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4"/>
        </w:tc>
      </w:tr>
    </w:tbl>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
    <w:bookmarkStart w:id="16" w:name="sec-forward_planning_component"/>
    <w:p>
      <w:pPr>
        <w:pStyle w:val="Heading3"/>
      </w:pPr>
      <w:r>
        <w:t xml:space="preserve">2.2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6"/>
    <w:bookmarkStart w:id="29" w:name="modelling-of-participants-responses"/>
    <w:p>
      <w:pPr>
        <w:pStyle w:val="Heading3"/>
      </w:pPr>
      <w:r>
        <w:t xml:space="preserve">2.3 Modelling of participants responses</w:t>
      </w:r>
    </w:p>
    <w:p>
      <w:pPr>
        <w:pStyle w:val="FirstParagraph"/>
      </w:pPr>
      <w:r>
        <w:t xml:space="preserve">Participants responses were modeled using a logistic regression:</w:t>
      </w:r>
    </w:p>
    <w:p>
      <w:pPr>
        <w:pStyle w:val="BodyText"/>
      </w:pPr>
      <w:bookmarkStart w:id="17"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17"/>
    </w:p>
    <w:p>
      <w:pPr>
        <w:pStyle w:val="FirstParagraph"/>
      </w:pPr>
      <w:r>
        <w:t xml:space="preserve">where</w:t>
      </w:r>
      <w:r>
        <w:t xml:space="preserve"> </w:t>
      </w: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oMath>
      <w:r>
        <w:t xml:space="preserve"> </w:t>
      </w: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9" w:name="planning-model"/>
    <w:p>
      <w:pPr>
        <w:pStyle w:val="Heading4"/>
      </w:pPr>
      <w:r>
        <w:t xml:space="preserve">2.3.1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18"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18"/>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Start w:id="22" w:name="frequency-prior-model"/>
    <w:p>
      <w:pPr>
        <w:pStyle w:val="Heading4"/>
      </w:pPr>
      <w:r>
        <w:t xml:space="preserve">2.3.2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20"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3</m:t>
          </m:r>
          <m:r>
            <m:rPr>
              <m:sty m:val="p"/>
            </m:rPr>
            <m:t>)</m:t>
          </m:r>
        </m:oMath>
      </m:oMathPara>
      <w:bookmarkEnd w:id="20"/>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21"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21"/>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2"/>
    <w:bookmarkStart w:id="24" w:name="offer-context-model"/>
    <w:p>
      <w:pPr>
        <w:pStyle w:val="Heading4"/>
      </w:pPr>
      <w:r>
        <w:t xml:space="preserve">2.3.3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23"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23"/>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4"/>
    <w:bookmarkStart w:id="28" w:name="preferences-model"/>
    <w:p>
      <w:pPr>
        <w:pStyle w:val="Heading4"/>
      </w:pPr>
      <w:r>
        <w:t xml:space="preserve">2.3.4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25"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6</m:t>
          </m:r>
          <m:r>
            <m:rPr>
              <m:sty m:val="p"/>
            </m:rPr>
            <m:t>)</m:t>
          </m:r>
        </m:oMath>
      </m:oMathPara>
      <w:bookmarkEnd w:id="25"/>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26"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7</m:t>
          </m:r>
          <m:r>
            <m:rPr>
              <m:sty m:val="p"/>
            </m:rPr>
            <m:t>)</m:t>
          </m:r>
        </m:oMath>
      </m:oMathPara>
      <w:bookmarkEnd w:id="26"/>
    </w:p>
    <w:p>
      <w:pPr>
        <w:pStyle w:val="FirstParagraph"/>
      </w:pPr>
      <w:r>
        <w:t xml:space="preserve">With:</w:t>
      </w:r>
    </w:p>
    <w:p>
      <w:pPr>
        <w:pStyle w:val="BodyText"/>
      </w:pPr>
      <w:bookmarkStart w:id="27" w:name="eq-entropy"/>
      <m:oMathPara>
        <m:oMathParaPr>
          <m:jc m:val="center"/>
        </m:oMathParaPr>
        <m:oMath>
          <m:m>
            <m:mPr>
              <m:baseJc m:val="center"/>
              <m:plcHide m:val="on"/>
              <m:mcs>
                <m:mc>
                  <m:mcPr>
                    <m:mcJc m:val="right"/>
                    <m:count m:val="1"/>
                  </m:mcPr>
                </m:mc>
              </m:mcs>
            </m:mPr>
            <m:mr>
              <m:e>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r>
                          <m:t>x</m:t>
                        </m:r>
                      </m:sup>
                    </m:sSup>
                  </m:den>
                </m:f>
              </m:e>
            </m:mr>
          </m:m>
          <m:r>
            <m:t>  </m:t>
          </m:r>
          <m:r>
            <m:rPr>
              <m:sty m:val="p"/>
            </m:rPr>
            <m:t>(</m:t>
          </m:r>
          <m:r>
            <m:t>8</m:t>
          </m:r>
          <m:r>
            <m:rPr>
              <m:sty m:val="p"/>
            </m:rPr>
            <m:t>)</m:t>
          </m:r>
        </m:oMath>
      </m:oMathPara>
      <w:bookmarkEnd w:id="27"/>
    </w:p>
    <w:p>
      <w:pPr>
        <w:pStyle w:val="FirstParagraph"/>
      </w:pPr>
      <w:r>
        <w:t xml:space="preserve">Participants’ factor-level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
          </m:rPr>
          <m:t>β</m:t>
        </m:r>
      </m:oMath>
      <w:r>
        <w:t xml:space="preserve"> </w:t>
      </w:r>
      <w:r>
        <w:t xml:space="preserve">is a vector of weights estimated for each level of each factor.</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30" w:name="model-fitting-and-comparison"/>
    <w:p>
      <w:pPr>
        <w:pStyle w:val="Heading3"/>
      </w:pPr>
      <w:r>
        <w:t xml:space="preserve">2.4 Model fitting and comparison</w:t>
      </w:r>
    </w:p>
    <w:p>
      <w:pPr>
        <w:pStyle w:val="FirstParagraph"/>
      </w:pPr>
      <w:r>
        <w:t xml:space="preserve">MModels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reaction time (RT) exceeded the response window (5 s). Across models, the following parameters were modeled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prefernece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0"/>
    <w:bookmarkStart w:id="31" w:name="experimental-factors-relevance-analysis"/>
    <w:p>
      <w:pPr>
        <w:pStyle w:val="Heading3"/>
      </w:pPr>
      <w:r>
        <w:t xml:space="preserve">2.5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2.2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1"/>
    <w:bookmarkStart w:id="33" w:name="reaction-times-analysis"/>
    <w:p>
      <w:pPr>
        <w:pStyle w:val="Heading3"/>
      </w:pPr>
      <w:r>
        <w:t xml:space="preserve">2.6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32"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32"/>
    </w:p>
    <w:p>
      <w:pPr>
        <w:pStyle w:val="FirstParagraph"/>
      </w:pPr>
      <w:r>
        <w:t xml:space="preserve">We predicted a positive modulation, such that forward planning conflict would be associated with longer RTs when preference entropy was high, that is, when preferences were weak or uncertain.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3"/>
    <w:bookmarkEnd w:id="34"/>
    <w:bookmarkStart w:id="58" w:name="results"/>
    <w:p>
      <w:pPr>
        <w:pStyle w:val="Heading2"/>
      </w:pPr>
      <w:r>
        <w:t xml:space="preserve">3 Results</w:t>
      </w:r>
    </w:p>
    <w:p>
      <w:pPr>
        <w:pStyle w:val="FirstParagraph"/>
      </w:pPr>
      <w:r>
        <w:t xml:space="preserve">Performance indicates that participants were able to perform the task well. Participants provided responses with an average reaction time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332.43</w:t>
      </w:r>
      <w:r>
        <w:t xml:space="preserve"> </w:t>
      </w:r>
      <m:oMath>
        <m:r>
          <m:rPr>
            <m:sty m:val="p"/>
          </m:rPr>
          <m:t>±</m:t>
        </m:r>
      </m:oMath>
      <w:r>
        <w:t xml:space="preserve"> </w:t>
      </w:r>
      <w:r>
        <w:t xml:space="preserve">6.64 points throughout the experiment.</w:t>
      </w:r>
    </w:p>
    <w:bookmarkStart w:id="47" w:name="choice-behaviour"/>
    <w:p>
      <w:pPr>
        <w:pStyle w:val="Heading3"/>
      </w:pPr>
      <w:r>
        <w:t xml:space="preserve">3.1 Choice behaviour</w:t>
      </w:r>
    </w:p>
    <w:p>
      <w:pPr>
        <w:pStyle w:val="FirstParagraph"/>
      </w:pPr>
      <w:r>
        <w:t xml:space="preserve">We first compared the four choice models to test whether participants’ deviations from optimal forward planning were systematic. The Planning model served as the benchmark, because it predicts choices from planning-derived DV alone. Replicating</w:t>
      </w:r>
      <w:r>
        <w:t xml:space="preserve"> </w:t>
      </w:r>
      <w:r>
        <w:t xml:space="preserve">Ott et al. (2022a)</w:t>
      </w:r>
      <w:r>
        <w:t xml:space="preserve">, this benchmark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2</w:t>
        </w:r>
      </w:hyperlink>
      <w:r>
        <w:t xml:space="preserve"> </w:t>
      </w:r>
      <w:r>
        <w:t xml:space="preserve">A), indicating that participants’ choices were not explained by planning-derived DV alone.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2</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2</w:t>
        </w:r>
      </w:hyperlink>
      <w:r>
        <w:t xml:space="preserve"> </w:t>
      </w:r>
      <w:r>
        <w:t xml:space="preserve">B). 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38" w:name="fig-choicemdl"/>
          <w:p>
            <w:pPr>
              <w:pStyle w:val="Compact"/>
              <w:jc w:val="center"/>
            </w:pPr>
            <w:r>
              <w:drawing>
                <wp:inline>
                  <wp:extent cx="5334000" cy="6927319"/>
                  <wp:effectExtent b="0" l="0" r="0" t="0"/>
                  <wp:docPr descr="" title="" id="36" name="Picture"/>
                  <a:graphic>
                    <a:graphicData uri="http://schemas.openxmlformats.org/drawingml/2006/picture">
                      <pic:pic>
                        <pic:nvPicPr>
                          <pic:cNvPr descr="index_files/figure-docx/fig-choicemdl-output-1.png" id="37" name="Picture"/>
                          <pic:cNvPicPr>
                            <a:picLocks noChangeArrowheads="1" noChangeAspect="1"/>
                          </pic:cNvPicPr>
                        </pic:nvPicPr>
                        <pic:blipFill>
                          <a:blip r:embed="rId35"/>
                          <a:stretch>
                            <a:fillRect/>
                          </a:stretch>
                        </pic:blipFill>
                        <pic:spPr bwMode="auto">
                          <a:xfrm>
                            <a:off x="0" y="0"/>
                            <a:ext cx="5334000" cy="6927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Observed and model-predicted probability of accepting, shown separately for each offer level and model. Points indicate participants’ observed acceptance probabilities.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=[0.35, 2.25]),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3</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3</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3</w:t>
        </w:r>
      </w:hyperlink>
      <w:r>
        <w:t xml:space="preserve"> </w:t>
      </w:r>
      <w:r>
        <w:t xml:space="preserve">B) and negative (</w:t>
      </w:r>
      <w:hyperlink w:anchor="fig-pref-planning-interaction">
        <w:r>
          <w:rPr>
            <w:rStyle w:val="Hyperlink"/>
          </w:rPr>
          <w:t xml:space="preserve">Figure 3</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2" w:name="fig-pref-planning-interaction"/>
          <w:p>
            <w:pPr>
              <w:pStyle w:val="Compact"/>
              <w:jc w:val="center"/>
            </w:pPr>
            <w:r>
              <w:drawing>
                <wp:inline>
                  <wp:extent cx="5334000" cy="7013088"/>
                  <wp:effectExtent b="0" l="0" r="0" t="0"/>
                  <wp:docPr descr="" title="" id="40" name="Picture"/>
                  <a:graphic>
                    <a:graphicData uri="http://schemas.openxmlformats.org/drawingml/2006/picture">
                      <pic:pic>
                        <pic:nvPicPr>
                          <pic:cNvPr descr="index_files/figure-docx/fig-pref-planning-interaction-output-1.png" id="41" name="Picture"/>
                          <pic:cNvPicPr>
                            <a:picLocks noChangeArrowheads="1" noChangeAspect="1"/>
                          </pic:cNvPicPr>
                        </pic:nvPicPr>
                        <pic:blipFill>
                          <a:blip r:embed="rId39"/>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4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4</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4</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4</w:t>
        </w:r>
      </w:hyperlink>
      <w:r>
        <w:t xml:space="preserve"> </w:t>
      </w:r>
      <w:r>
        <w:t xml:space="preserve">B). Visual inspection of</w:t>
      </w:r>
      <w:r>
        <w:t xml:space="preserve"> </w:t>
      </w:r>
      <w:hyperlink w:anchor="fig-returns">
        <w:r>
          <w:rPr>
            <w:rStyle w:val="Hyperlink"/>
          </w:rPr>
          <w:t xml:space="preserve">Figure 4</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46" w:name="fig-returns"/>
          <w:p>
            <w:pPr>
              <w:pStyle w:val="Compact"/>
              <w:jc w:val="center"/>
            </w:pPr>
            <w:r>
              <w:drawing>
                <wp:inline>
                  <wp:extent cx="5334000" cy="2227026"/>
                  <wp:effectExtent b="0" l="0" r="0" t="0"/>
                  <wp:docPr descr="" title="" id="44" name="Picture"/>
                  <a:graphic>
                    <a:graphicData uri="http://schemas.openxmlformats.org/drawingml/2006/picture">
                      <pic:pic>
                        <pic:nvPicPr>
                          <pic:cNvPr descr="index_files/figure-docx/fig-returns-output-1.png" id="45" name="Picture"/>
                          <pic:cNvPicPr>
                            <a:picLocks noChangeArrowheads="1" noChangeAspect="1"/>
                          </pic:cNvPicPr>
                        </pic:nvPicPr>
                        <pic:blipFill>
                          <a:blip r:embed="rId43"/>
                          <a:stretch>
                            <a:fillRect/>
                          </a:stretch>
                        </pic:blipFill>
                        <pic:spPr bwMode="auto">
                          <a:xfrm>
                            <a:off x="0" y="0"/>
                            <a:ext cx="5334000" cy="22270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4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7"/>
    <w:bookmarkStart w:id="52" w:name="experimental-factors-relevance"/>
    <w:p>
      <w:pPr>
        <w:pStyle w:val="Heading3"/>
      </w:pPr>
      <w:r>
        <w:t xml:space="preserve">3.2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This effectively tests how decision-making changes when participants are assumed to ignore one specific source of task information, such as offer value, action costs, or future transitions.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task-features">
        <w:r>
          <w:rPr>
            <w:rStyle w:val="Hyperlink"/>
          </w:rPr>
          <w:t xml:space="preserve">Figure 5</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1" w:name="fig-task-features"/>
          <w:p>
            <w:pPr>
              <w:pStyle w:val="Compact"/>
              <w:jc w:val="center"/>
            </w:pPr>
            <w:r>
              <w:drawing>
                <wp:inline>
                  <wp:extent cx="5334000" cy="4442669"/>
                  <wp:effectExtent b="0" l="0" r="0" t="0"/>
                  <wp:docPr descr="" title="" id="49" name="Picture"/>
                  <a:graphic>
                    <a:graphicData uri="http://schemas.openxmlformats.org/drawingml/2006/picture">
                      <pic:pic>
                        <pic:nvPicPr>
                          <pic:cNvPr descr="index_files/figure-docx/fig-task-features-output-1.png" id="50" name="Picture"/>
                          <pic:cNvPicPr>
                            <a:picLocks noChangeArrowheads="1" noChangeAspect="1"/>
                          </pic:cNvPicPr>
                        </pic:nvPicPr>
                        <pic:blipFill>
                          <a:blip r:embed="rId48"/>
                          <a:stretch>
                            <a:fillRect/>
                          </a:stretch>
                        </pic:blipFill>
                        <pic:spPr bwMode="auto">
                          <a:xfrm>
                            <a:off x="0" y="0"/>
                            <a:ext cx="5334000" cy="444266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5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The full preference policy produced a return loss of 28.34%, indicating that preferences did not fully replace forward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2"/>
    <w:bookmarkStart w:id="57" w:name="reaction-times"/>
    <w:p>
      <w:pPr>
        <w:pStyle w:val="Heading3"/>
      </w:pPr>
      <w:r>
        <w:t xml:space="preserve">3.3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6</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6</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56" w:name="fig-rt"/>
          <w:p>
            <w:pPr>
              <w:pStyle w:val="Compact"/>
              <w:jc w:val="center"/>
            </w:pPr>
            <w:r>
              <w:drawing>
                <wp:inline>
                  <wp:extent cx="5334000" cy="3065059"/>
                  <wp:effectExtent b="0" l="0" r="0" t="0"/>
                  <wp:docPr descr="" title="" id="54" name="Picture"/>
                  <a:graphic>
                    <a:graphicData uri="http://schemas.openxmlformats.org/drawingml/2006/picture">
                      <pic:pic>
                        <pic:nvPicPr>
                          <pic:cNvPr descr="index_files/figure-docx/fig-rt-output-2.png" id="55" name="Picture"/>
                          <pic:cNvPicPr>
                            <a:picLocks noChangeArrowheads="1" noChangeAspect="1"/>
                          </pic:cNvPicPr>
                        </pic:nvPicPr>
                        <pic:blipFill>
                          <a:blip r:embed="rId53"/>
                          <a:stretch>
                            <a:fillRect/>
                          </a:stretch>
                        </pic:blipFill>
                        <pic:spPr bwMode="auto">
                          <a:xfrm>
                            <a:off x="0" y="0"/>
                            <a:ext cx="5334000" cy="306505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bookmarkEnd w:id="58"/>
    <w:bookmarkStart w:id="59" w:name="discussion"/>
    <w:p>
      <w:pPr>
        <w:pStyle w:val="Heading2"/>
      </w:pPr>
      <w:r>
        <w:t xml:space="preserve">4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5</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9"/>
    <w:bookmarkStart w:id="60" w:name="acknowledgements"/>
    <w:p>
      <w:pPr>
        <w:pStyle w:val="Heading2"/>
      </w:pPr>
      <w:r>
        <w:t xml:space="preserve">5 Acknowledgements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Start w:id="61"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1"/>
    <w:bookmarkStart w:id="62"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Start w:id="63" w:name="references"/>
    <w:p>
      <w:pPr>
        <w:pStyle w:val="Heading2"/>
      </w:pPr>
      <w:r>
        <w:t xml:space="preserve">8 References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3"/>
    <w:bookmarkStart w:id="139" w:name="supplementary-material"/>
    <w:p>
      <w:pPr>
        <w:pStyle w:val="Heading2"/>
      </w:pPr>
      <w:r>
        <w:t xml:space="preserve">9 Supplementary material</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68"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67" w:name="suppfig-pref-planning-interaction"/>
          <w:p>
            <w:pPr>
              <w:pStyle w:val="Compact"/>
              <w:jc w:val="center"/>
            </w:pPr>
            <w:r>
              <w:drawing>
                <wp:inline>
                  <wp:extent cx="5334000" cy="7500679"/>
                  <wp:effectExtent b="0" l="0" r="0" t="0"/>
                  <wp:docPr descr="" title="" id="65" name="Picture"/>
                  <a:graphic>
                    <a:graphicData uri="http://schemas.openxmlformats.org/drawingml/2006/picture">
                      <pic:pic>
                        <pic:nvPicPr>
                          <pic:cNvPr descr="index_files/figure-docx/S1-supplementary_figures_tables-suppfig-pref-planning-interaction-output-1.png" id="66" name="Picture"/>
                          <pic:cNvPicPr>
                            <a:picLocks noChangeArrowheads="1" noChangeAspect="1"/>
                          </pic:cNvPicPr>
                        </pic:nvPicPr>
                        <pic:blipFill>
                          <a:blip r:embed="rId64"/>
                          <a:stretch>
                            <a:fillRect/>
                          </a:stretch>
                        </pic:blipFill>
                        <pic:spPr bwMode="auto">
                          <a:xfrm>
                            <a:off x="0" y="0"/>
                            <a:ext cx="5334000" cy="75006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6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8"/>
    <w:bookmarkStart w:id="71"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69"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-1492.49</w:t>
                  </w:r>
                </w:p>
              </w:tc>
              <w:tc>
                <w:tcPr/>
                <w:p>
                  <w:pPr>
                    <w:pStyle w:val="Compact"/>
                    <w:jc w:val="right"/>
                    <w:jc w:val="center"/>
                  </w:pPr>
                  <w:r>
                    <w:t xml:space="preserve">256.526</w:t>
                  </w:r>
                </w:p>
              </w:tc>
              <w:tc>
                <w:tcPr/>
                <w:p>
                  <w:pPr>
                    <w:pStyle w:val="Compact"/>
                    <w:jc w:val="right"/>
                    <w:jc w:val="center"/>
                  </w:pPr>
                  <w:r>
                    <w:t xml:space="preserve">0</w:t>
                  </w:r>
                </w:p>
              </w:tc>
              <w:tc>
                <w:tcPr/>
                <w:p>
                  <w:pPr>
                    <w:pStyle w:val="Compact"/>
                    <w:jc w:val="right"/>
                    <w:jc w:val="center"/>
                  </w:pPr>
                  <w:r>
                    <w:t xml:space="preserve">48.7651</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-1656.69</w:t>
                  </w:r>
                </w:p>
              </w:tc>
              <w:tc>
                <w:tcPr/>
                <w:p>
                  <w:pPr>
                    <w:pStyle w:val="Compact"/>
                    <w:jc w:val="right"/>
                    <w:jc w:val="center"/>
                  </w:pPr>
                  <w:r>
                    <w:t xml:space="preserve">159.175</w:t>
                  </w:r>
                </w:p>
              </w:tc>
              <w:tc>
                <w:tcPr/>
                <w:p>
                  <w:pPr>
                    <w:pStyle w:val="Compact"/>
                    <w:jc w:val="right"/>
                    <w:jc w:val="center"/>
                  </w:pPr>
                  <w:r>
                    <w:t xml:space="preserve">164.209</w:t>
                  </w:r>
                </w:p>
              </w:tc>
              <w:tc>
                <w:tcPr/>
                <w:p>
                  <w:pPr>
                    <w:pStyle w:val="Compact"/>
                    <w:jc w:val="right"/>
                    <w:jc w:val="center"/>
                  </w:pPr>
                  <w:r>
                    <w:t xml:space="preserve">52.4615</w:t>
                  </w:r>
                </w:p>
              </w:tc>
              <w:tc>
                <w:tcPr/>
                <w:p>
                  <w:pPr>
                    <w:pStyle w:val="Compact"/>
                    <w:jc w:val="right"/>
                    <w:jc w:val="center"/>
                  </w:pPr>
                  <w:r>
                    <w:t xml:space="preserve">19.671</w:t>
                  </w:r>
                </w:p>
              </w:tc>
            </w:tr>
            <w:tr>
              <w:tc>
                <w:tcPr/>
                <w:p>
                  <w:pPr>
                    <w:pStyle w:val="Compact"/>
                    <w:jc w:val="left"/>
                    <w:jc w:val="center"/>
                  </w:pPr>
                  <w:r>
                    <w:t xml:space="preserve">Frequency prior</w:t>
                  </w:r>
                </w:p>
              </w:tc>
              <w:tc>
                <w:tcPr/>
                <w:p>
                  <w:pPr>
                    <w:pStyle w:val="Compact"/>
                    <w:jc w:val="right"/>
                    <w:jc w:val="center"/>
                  </w:pPr>
                  <w:r>
                    <w:t xml:space="preserve">-2073.38</w:t>
                  </w:r>
                </w:p>
              </w:tc>
              <w:tc>
                <w:tcPr/>
                <w:p>
                  <w:pPr>
                    <w:pStyle w:val="Compact"/>
                    <w:jc w:val="right"/>
                    <w:jc w:val="center"/>
                  </w:pPr>
                  <w:r>
                    <w:t xml:space="preserve">77.0896</w:t>
                  </w:r>
                </w:p>
              </w:tc>
              <w:tc>
                <w:tcPr/>
                <w:p>
                  <w:pPr>
                    <w:pStyle w:val="Compact"/>
                    <w:jc w:val="right"/>
                    <w:jc w:val="center"/>
                  </w:pPr>
                  <w:r>
                    <w:t xml:space="preserve">580.889</w:t>
                  </w:r>
                </w:p>
              </w:tc>
              <w:tc>
                <w:tcPr/>
                <w:p>
                  <w:pPr>
                    <w:pStyle w:val="Compact"/>
                    <w:jc w:val="right"/>
                    <w:jc w:val="center"/>
                  </w:pPr>
                  <w:r>
                    <w:t xml:space="preserve">55.5712</w:t>
                  </w:r>
                </w:p>
              </w:tc>
              <w:tc>
                <w:tcPr/>
                <w:p>
                  <w:pPr>
                    <w:pStyle w:val="Compact"/>
                    <w:jc w:val="right"/>
                    <w:jc w:val="center"/>
                  </w:pPr>
                  <w:r>
                    <w:t xml:space="preserve">35.9363</w:t>
                  </w:r>
                </w:p>
              </w:tc>
            </w:tr>
            <w:tr>
              <w:tc>
                <w:tcPr/>
                <w:p>
                  <w:pPr>
                    <w:pStyle w:val="Compact"/>
                    <w:jc w:val="left"/>
                    <w:jc w:val="center"/>
                  </w:pPr>
                  <w:r>
                    <w:t xml:space="preserve">Planning</w:t>
                  </w:r>
                </w:p>
              </w:tc>
              <w:tc>
                <w:tcPr/>
                <w:p>
                  <w:pPr>
                    <w:pStyle w:val="Compact"/>
                    <w:jc w:val="right"/>
                    <w:jc w:val="center"/>
                  </w:pPr>
                  <w:r>
                    <w:t xml:space="preserve">-2078.46</w:t>
                  </w:r>
                </w:p>
              </w:tc>
              <w:tc>
                <w:tcPr/>
                <w:p>
                  <w:pPr>
                    <w:pStyle w:val="Compact"/>
                    <w:jc w:val="right"/>
                    <w:jc w:val="center"/>
                  </w:pPr>
                  <w:r>
                    <w:t xml:space="preserve">68.3847</w:t>
                  </w:r>
                </w:p>
              </w:tc>
              <w:tc>
                <w:tcPr/>
                <w:p>
                  <w:pPr>
                    <w:pStyle w:val="Compact"/>
                    <w:jc w:val="right"/>
                    <w:jc w:val="center"/>
                  </w:pPr>
                  <w:r>
                    <w:t xml:space="preserve">585.976</w:t>
                  </w:r>
                </w:p>
              </w:tc>
              <w:tc>
                <w:tcPr/>
                <w:p>
                  <w:pPr>
                    <w:pStyle w:val="Compact"/>
                    <w:jc w:val="right"/>
                    <w:jc w:val="center"/>
                  </w:pPr>
                  <w:r>
                    <w:t xml:space="preserve">55.58</w:t>
                  </w:r>
                </w:p>
              </w:tc>
              <w:tc>
                <w:tcPr/>
                <w:p>
                  <w:pPr>
                    <w:pStyle w:val="Compact"/>
                    <w:jc w:val="right"/>
                    <w:jc w:val="center"/>
                  </w:pPr>
                  <w:r>
                    <w:t xml:space="preserve">36.1456</w:t>
                  </w:r>
                </w:p>
              </w:tc>
            </w:tr>
          </w:tbl>
          <w:bookmarkEnd w:id="6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70"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assopciated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p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2.072</w:t>
                  </w:r>
                </w:p>
              </w:tc>
              <w:tc>
                <w:tcPr/>
                <w:p>
                  <w:pPr>
                    <w:pStyle w:val="Compact"/>
                    <w:jc w:val="right"/>
                    <w:jc w:val="center"/>
                  </w:pPr>
                  <w:r>
                    <w:t xml:space="preserve">0.242</w:t>
                  </w:r>
                </w:p>
              </w:tc>
              <w:tc>
                <w:tcPr/>
                <w:p>
                  <w:pPr>
                    <w:pStyle w:val="Compact"/>
                    <w:jc w:val="right"/>
                    <w:jc w:val="center"/>
                  </w:pPr>
                  <w:r>
                    <w:t xml:space="preserve">1.614</w:t>
                  </w:r>
                </w:p>
              </w:tc>
              <w:tc>
                <w:tcPr/>
                <w:p>
                  <w:pPr>
                    <w:pStyle w:val="Compact"/>
                    <w:jc w:val="right"/>
                    <w:jc w:val="center"/>
                  </w:pPr>
                  <w:r>
                    <w:t xml:space="preserve">2.573</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-2.374</w:t>
                  </w:r>
                </w:p>
              </w:tc>
              <w:tc>
                <w:tcPr/>
                <w:p>
                  <w:pPr>
                    <w:pStyle w:val="Compact"/>
                    <w:jc w:val="right"/>
                    <w:jc w:val="center"/>
                  </w:pPr>
                  <w:r>
                    <w:t xml:space="preserve">0.971</w:t>
                  </w:r>
                </w:p>
              </w:tc>
              <w:tc>
                <w:tcPr/>
                <w:p>
                  <w:pPr>
                    <w:pStyle w:val="Compact"/>
                    <w:jc w:val="right"/>
                    <w:jc w:val="center"/>
                  </w:pPr>
                  <w:r>
                    <w:t xml:space="preserve">-4.232</w:t>
                  </w:r>
                </w:p>
              </w:tc>
              <w:tc>
                <w:tcPr/>
                <w:p>
                  <w:pPr>
                    <w:pStyle w:val="Compact"/>
                    <w:jc w:val="right"/>
                    <w:jc w:val="center"/>
                  </w:pPr>
                  <w:r>
                    <w:t xml:space="preserve">-0.426</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-1.625</w:t>
                  </w:r>
                </w:p>
              </w:tc>
              <w:tc>
                <w:tcPr/>
                <w:p>
                  <w:pPr>
                    <w:pStyle w:val="Compact"/>
                    <w:jc w:val="right"/>
                    <w:jc w:val="center"/>
                  </w:pPr>
                  <w:r>
                    <w:t xml:space="preserve">0.938</w:t>
                  </w:r>
                </w:p>
              </w:tc>
              <w:tc>
                <w:tcPr/>
                <w:p>
                  <w:pPr>
                    <w:pStyle w:val="Compact"/>
                    <w:jc w:val="right"/>
                    <w:jc w:val="center"/>
                  </w:pPr>
                  <w:r>
                    <w:t xml:space="preserve">-3.535</w:t>
                  </w:r>
                </w:p>
              </w:tc>
              <w:tc>
                <w:tcPr/>
                <w:p>
                  <w:pPr>
                    <w:pStyle w:val="Compact"/>
                    <w:jc w:val="right"/>
                    <w:jc w:val="center"/>
                  </w:pPr>
                  <w:r>
                    <w:t xml:space="preserve">0.092</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1.627</w:t>
                  </w:r>
                </w:p>
              </w:tc>
              <w:tc>
                <w:tcPr/>
                <w:p>
                  <w:pPr>
                    <w:pStyle w:val="Compact"/>
                    <w:jc w:val="right"/>
                    <w:jc w:val="center"/>
                  </w:pPr>
                  <w:r>
                    <w:t xml:space="preserve">0.945</w:t>
                  </w:r>
                </w:p>
              </w:tc>
              <w:tc>
                <w:tcPr/>
                <w:p>
                  <w:pPr>
                    <w:pStyle w:val="Compact"/>
                    <w:jc w:val="right"/>
                    <w:jc w:val="center"/>
                  </w:pPr>
                  <w:r>
                    <w:t xml:space="preserve">-0.22</w:t>
                  </w:r>
                </w:p>
              </w:tc>
              <w:tc>
                <w:tcPr/>
                <w:p>
                  <w:pPr>
                    <w:pStyle w:val="Compact"/>
                    <w:jc w:val="right"/>
                    <w:jc w:val="center"/>
                  </w:pPr>
                  <w:r>
                    <w:t xml:space="preserve">3.453</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2.923</w:t>
                  </w:r>
                </w:p>
              </w:tc>
              <w:tc>
                <w:tcPr/>
                <w:p>
                  <w:pPr>
                    <w:pStyle w:val="Compact"/>
                    <w:jc w:val="right"/>
                    <w:jc w:val="center"/>
                  </w:pPr>
                  <w:r>
                    <w:t xml:space="preserve">0.976</w:t>
                  </w:r>
                </w:p>
              </w:tc>
              <w:tc>
                <w:tcPr/>
                <w:p>
                  <w:pPr>
                    <w:pStyle w:val="Compact"/>
                    <w:jc w:val="right"/>
                    <w:jc w:val="center"/>
                  </w:pPr>
                  <w:r>
                    <w:t xml:space="preserve">1.054</w:t>
                  </w:r>
                </w:p>
              </w:tc>
              <w:tc>
                <w:tcPr/>
                <w:p>
                  <w:pPr>
                    <w:pStyle w:val="Compact"/>
                    <w:jc w:val="right"/>
                    <w:jc w:val="center"/>
                  </w:pPr>
                  <w:r>
                    <w:t xml:space="preserve">4.842</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0.765</w:t>
                  </w:r>
                </w:p>
              </w:tc>
              <w:tc>
                <w:tcPr/>
                <w:p>
                  <w:pPr>
                    <w:pStyle w:val="Compact"/>
                    <w:jc w:val="right"/>
                    <w:jc w:val="center"/>
                  </w:pPr>
                  <w:r>
                    <w:t xml:space="preserve">1.161</w:t>
                  </w:r>
                </w:p>
              </w:tc>
              <w:tc>
                <w:tcPr/>
                <w:p>
                  <w:pPr>
                    <w:pStyle w:val="Compact"/>
                    <w:jc w:val="right"/>
                    <w:jc w:val="center"/>
                  </w:pPr>
                  <w:r>
                    <w:t xml:space="preserve">-1.488</w:t>
                  </w:r>
                </w:p>
              </w:tc>
              <w:tc>
                <w:tcPr/>
                <w:p>
                  <w:pPr>
                    <w:pStyle w:val="Compact"/>
                    <w:jc w:val="right"/>
                    <w:jc w:val="center"/>
                  </w:pPr>
                  <w:r>
                    <w:t xml:space="preserve">3.105</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-0.127</w:t>
                  </w:r>
                </w:p>
              </w:tc>
              <w:tc>
                <w:tcPr/>
                <w:p>
                  <w:pPr>
                    <w:pStyle w:val="Compact"/>
                    <w:jc w:val="right"/>
                    <w:jc w:val="center"/>
                  </w:pPr>
                  <w:r>
                    <w:t xml:space="preserve">1.165</w:t>
                  </w:r>
                </w:p>
              </w:tc>
              <w:tc>
                <w:tcPr/>
                <w:p>
                  <w:pPr>
                    <w:pStyle w:val="Compact"/>
                    <w:jc w:val="right"/>
                    <w:jc w:val="center"/>
                  </w:pPr>
                  <w:r>
                    <w:t xml:space="preserve">-2.482</w:t>
                  </w:r>
                </w:p>
              </w:tc>
              <w:tc>
                <w:tcPr/>
                <w:p>
                  <w:pPr>
                    <w:pStyle w:val="Compact"/>
                    <w:jc w:val="right"/>
                    <w:jc w:val="center"/>
                  </w:pPr>
                  <w:r>
                    <w:t xml:space="preserve">2.144</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0.457</w:t>
                  </w:r>
                </w:p>
              </w:tc>
              <w:tc>
                <w:tcPr/>
                <w:p>
                  <w:pPr>
                    <w:pStyle w:val="Compact"/>
                    <w:jc w:val="right"/>
                    <w:jc w:val="center"/>
                  </w:pPr>
                  <w:r>
                    <w:t xml:space="preserve">1.149</w:t>
                  </w:r>
                </w:p>
              </w:tc>
              <w:tc>
                <w:tcPr/>
                <w:p>
                  <w:pPr>
                    <w:pStyle w:val="Compact"/>
                    <w:jc w:val="right"/>
                    <w:jc w:val="center"/>
                  </w:pPr>
                  <w:r>
                    <w:t xml:space="preserve">-1.86</w:t>
                  </w:r>
                </w:p>
              </w:tc>
              <w:tc>
                <w:tcPr/>
                <w:p>
                  <w:pPr>
                    <w:pStyle w:val="Compact"/>
                    <w:jc w:val="right"/>
                    <w:jc w:val="center"/>
                  </w:pPr>
                  <w:r>
                    <w:t xml:space="preserve">2.557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0.21</w:t>
                  </w:r>
                </w:p>
              </w:tc>
              <w:tc>
                <w:tcPr/>
                <w:p>
                  <w:pPr>
                    <w:pStyle w:val="Compact"/>
                    <w:jc w:val="right"/>
                    <w:jc w:val="center"/>
                  </w:pPr>
                  <w:r>
                    <w:t xml:space="preserve">1.149</w:t>
                  </w:r>
                </w:p>
              </w:tc>
              <w:tc>
                <w:tcPr/>
                <w:p>
                  <w:pPr>
                    <w:pStyle w:val="Compact"/>
                    <w:jc w:val="right"/>
                    <w:jc w:val="center"/>
                  </w:pPr>
                  <w:r>
                    <w:t xml:space="preserve">-2.051</w:t>
                  </w:r>
                </w:p>
              </w:tc>
              <w:tc>
                <w:tcPr/>
                <w:p>
                  <w:pPr>
                    <w:pStyle w:val="Compact"/>
                    <w:jc w:val="right"/>
                    <w:jc w:val="center"/>
                  </w:pPr>
                  <w:r>
                    <w:t xml:space="preserve">2.359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-4.438</w:t>
                  </w:r>
                </w:p>
              </w:tc>
              <w:tc>
                <w:tcPr/>
                <w:p>
                  <w:pPr>
                    <w:pStyle w:val="Compact"/>
                    <w:jc w:val="right"/>
                    <w:jc w:val="center"/>
                  </w:pPr>
                  <w:r>
                    <w:t xml:space="preserve">0.935</w:t>
                  </w:r>
                </w:p>
              </w:tc>
              <w:tc>
                <w:tcPr/>
                <w:p>
                  <w:pPr>
                    <w:pStyle w:val="Compact"/>
                    <w:jc w:val="right"/>
                    <w:jc w:val="center"/>
                  </w:pPr>
                  <w:r>
                    <w:t xml:space="preserve">-6.247</w:t>
                  </w:r>
                </w:p>
              </w:tc>
              <w:tc>
                <w:tcPr/>
                <w:p>
                  <w:pPr>
                    <w:pStyle w:val="Compact"/>
                    <w:jc w:val="right"/>
                    <w:jc w:val="center"/>
                  </w:pPr>
                  <w:r>
                    <w:t xml:space="preserve">-2.627</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-0.48</w:t>
                  </w:r>
                </w:p>
              </w:tc>
              <w:tc>
                <w:tcPr/>
                <w:p>
                  <w:pPr>
                    <w:pStyle w:val="Compact"/>
                    <w:jc w:val="right"/>
                    <w:jc w:val="center"/>
                  </w:pPr>
                  <w:r>
                    <w:t xml:space="preserve">0.781</w:t>
                  </w:r>
                </w:p>
              </w:tc>
              <w:tc>
                <w:tcPr/>
                <w:p>
                  <w:pPr>
                    <w:pStyle w:val="Compact"/>
                    <w:jc w:val="right"/>
                    <w:jc w:val="center"/>
                  </w:pPr>
                  <w:r>
                    <w:t xml:space="preserve">-1.994</w:t>
                  </w:r>
                </w:p>
              </w:tc>
              <w:tc>
                <w:tcPr/>
                <w:p>
                  <w:pPr>
                    <w:pStyle w:val="Compact"/>
                    <w:jc w:val="right"/>
                    <w:jc w:val="center"/>
                  </w:pPr>
                  <w:r>
                    <w:t xml:space="preserve">1.076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-0.02</w:t>
                  </w:r>
                </w:p>
              </w:tc>
              <w:tc>
                <w:tcPr/>
                <w:p>
                  <w:pPr>
                    <w:pStyle w:val="Compact"/>
                    <w:jc w:val="right"/>
                    <w:jc w:val="center"/>
                  </w:pPr>
                  <w:r>
                    <w:t xml:space="preserve">0.75</w:t>
                  </w:r>
                </w:p>
              </w:tc>
              <w:tc>
                <w:tcPr/>
                <w:p>
                  <w:pPr>
                    <w:pStyle w:val="Compact"/>
                    <w:jc w:val="right"/>
                    <w:jc w:val="center"/>
                  </w:pPr>
                  <w:r>
                    <w:t xml:space="preserve">-1.473</w:t>
                  </w:r>
                </w:p>
              </w:tc>
              <w:tc>
                <w:tcPr/>
                <w:p>
                  <w:pPr>
                    <w:pStyle w:val="Compact"/>
                    <w:jc w:val="right"/>
                    <w:jc w:val="center"/>
                  </w:pPr>
                  <w:r>
                    <w:t xml:space="preserve">1.492</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0.203</w:t>
                  </w:r>
                </w:p>
              </w:tc>
              <w:tc>
                <w:tcPr/>
                <w:p>
                  <w:pPr>
                    <w:pStyle w:val="Compact"/>
                    <w:jc w:val="right"/>
                    <w:jc w:val="center"/>
                  </w:pPr>
                  <w:r>
                    <w:t xml:space="preserve">0.748</w:t>
                  </w:r>
                </w:p>
              </w:tc>
              <w:tc>
                <w:tcPr/>
                <w:p>
                  <w:pPr>
                    <w:pStyle w:val="Compact"/>
                    <w:jc w:val="right"/>
                    <w:jc w:val="center"/>
                  </w:pPr>
                  <w:r>
                    <w:t xml:space="preserve">-1.228</w:t>
                  </w:r>
                </w:p>
              </w:tc>
              <w:tc>
                <w:tcPr/>
                <w:p>
                  <w:pPr>
                    <w:pStyle w:val="Compact"/>
                    <w:jc w:val="right"/>
                    <w:jc w:val="center"/>
                  </w:pPr>
                  <w:r>
                    <w:t xml:space="preserve">1.688</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w:t>
                  </w:r>
                </w:p>
              </w:tc>
              <w:tc>
                <w:tcPr/>
                <w:p>
                  <w:pPr>
                    <w:pStyle w:val="Compact"/>
                    <w:jc w:val="right"/>
                    <w:jc w:val="center"/>
                  </w:pPr>
                  <w:r>
                    <w:t xml:space="preserve">0.758</w:t>
                  </w:r>
                </w:p>
              </w:tc>
              <w:tc>
                <w:tcPr/>
                <w:p>
                  <w:pPr>
                    <w:pStyle w:val="Compact"/>
                    <w:jc w:val="right"/>
                    <w:jc w:val="center"/>
                  </w:pPr>
                  <w:r>
                    <w:t xml:space="preserve">-1.186</w:t>
                  </w:r>
                </w:p>
              </w:tc>
              <w:tc>
                <w:tcPr/>
                <w:p>
                  <w:pPr>
                    <w:pStyle w:val="Compact"/>
                    <w:jc w:val="right"/>
                    <w:jc w:val="center"/>
                  </w:pPr>
                  <w:r>
                    <w:t xml:space="preserve">1.799</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0.793</w:t>
                  </w:r>
                </w:p>
              </w:tc>
              <w:tc>
                <w:tcPr/>
                <w:p>
                  <w:pPr>
                    <w:pStyle w:val="Compact"/>
                    <w:jc w:val="right"/>
                    <w:jc w:val="center"/>
                  </w:pPr>
                  <w:r>
                    <w:t xml:space="preserve">0.769</w:t>
                  </w:r>
                </w:p>
              </w:tc>
              <w:tc>
                <w:tcPr/>
                <w:p>
                  <w:pPr>
                    <w:pStyle w:val="Compact"/>
                    <w:jc w:val="right"/>
                    <w:jc w:val="center"/>
                  </w:pPr>
                  <w:r>
                    <w:t xml:space="preserve">-0.602</w:t>
                  </w:r>
                </w:p>
              </w:tc>
              <w:tc>
                <w:tcPr/>
                <w:p>
                  <w:pPr>
                    <w:pStyle w:val="Compact"/>
                    <w:jc w:val="right"/>
                    <w:jc w:val="center"/>
                  </w:pPr>
                  <w:r>
                    <w:t xml:space="preserve">2.44</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4.195</w:t>
                  </w:r>
                </w:p>
              </w:tc>
              <w:tc>
                <w:tcPr/>
                <w:p>
                  <w:pPr>
                    <w:pStyle w:val="Compact"/>
                    <w:jc w:val="right"/>
                    <w:jc w:val="center"/>
                  </w:pPr>
                  <w:r>
                    <w:t xml:space="preserve">0.962</w:t>
                  </w:r>
                </w:p>
              </w:tc>
              <w:tc>
                <w:tcPr/>
                <w:p>
                  <w:pPr>
                    <w:pStyle w:val="Compact"/>
                    <w:jc w:val="right"/>
                    <w:jc w:val="center"/>
                  </w:pPr>
                  <w:r>
                    <w:t xml:space="preserve">2.363</w:t>
                  </w:r>
                </w:p>
              </w:tc>
              <w:tc>
                <w:tcPr/>
                <w:p>
                  <w:pPr>
                    <w:pStyle w:val="Compact"/>
                    <w:jc w:val="right"/>
                    <w:jc w:val="center"/>
                  </w:pPr>
                  <w:r>
                    <w:t xml:space="preserve">6.132</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1.306</w:t>
                  </w:r>
                </w:p>
              </w:tc>
              <w:tc>
                <w:tcPr/>
                <w:p>
                  <w:pPr>
                    <w:pStyle w:val="Compact"/>
                    <w:jc w:val="right"/>
                    <w:jc w:val="center"/>
                  </w:pPr>
                  <w:r>
                    <w:t xml:space="preserve">0.508</w:t>
                  </w:r>
                </w:p>
              </w:tc>
              <w:tc>
                <w:tcPr/>
                <w:p>
                  <w:pPr>
                    <w:pStyle w:val="Compact"/>
                    <w:jc w:val="right"/>
                    <w:jc w:val="center"/>
                  </w:pPr>
                  <w:r>
                    <w:t xml:space="preserve">0.258</w:t>
                  </w:r>
                </w:p>
              </w:tc>
              <w:tc>
                <w:tcPr/>
                <w:p>
                  <w:pPr>
                    <w:pStyle w:val="Compact"/>
                    <w:jc w:val="right"/>
                    <w:jc w:val="center"/>
                  </w:pPr>
                  <w:r>
                    <w:t xml:space="preserve">2.256</w:t>
                  </w:r>
                </w:p>
              </w:tc>
            </w:tr>
          </w:tbl>
          <w:bookmarkEnd w:id="7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1"/>
    <w:bookmarkStart w:id="84" w:name="supplementary-model-comparison"/>
    <w:p>
      <w:pPr>
        <w:pStyle w:val="Heading3"/>
      </w:pPr>
      <w:r>
        <w:t xml:space="preserve">9.3 Supplementary model comparison</w:t>
      </w:r>
    </w:p>
    <w:bookmarkStart w:id="77"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behaviour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75" w:name="suppfig-preference_model_comparison"/>
          <w:p>
            <w:pPr>
              <w:pStyle w:val="Compact"/>
              <w:jc w:val="center"/>
            </w:pPr>
            <w:r>
              <w:drawing>
                <wp:inline>
                  <wp:extent cx="5334000" cy="4622320"/>
                  <wp:effectExtent b="0" l="0" r="0" t="0"/>
                  <wp:docPr descr="" title="" id="73" name="Picture"/>
                  <a:graphic>
                    <a:graphicData uri="http://schemas.openxmlformats.org/drawingml/2006/picture">
                      <pic:pic>
                        <pic:nvPicPr>
                          <pic:cNvPr descr="index_files/figure-docx/S2-choice_model_comparison-suppfig-preference_model_comparison-output-1.png" id="74" name="Picture"/>
                          <pic:cNvPicPr>
                            <a:picLocks noChangeArrowheads="1" noChangeAspect="1"/>
                          </pic:cNvPicPr>
                        </pic:nvPicPr>
                        <pic:blipFill>
                          <a:blip r:embed="rId72"/>
                          <a:stretch>
                            <a:fillRect/>
                          </a:stretch>
                        </pic:blipFill>
                        <pic:spPr bwMode="auto">
                          <a:xfrm>
                            <a:off x="0" y="0"/>
                            <a:ext cx="5334000" cy="462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(No_FC) model where future cost factor was omitted from preferences, (No_CC) model where future cost factor was omitted from preferences, (No_Planning) model where DV was omitted, (No_Energy) model where energy factor was omitted from preferences, (No_Offer) model where offer factor was omitted from preferences</w:t>
            </w:r>
          </w:p>
          <w:bookmarkEnd w:id="7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76"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-1517.79</w:t>
                  </w:r>
                </w:p>
              </w:tc>
              <w:tc>
                <w:tcPr/>
                <w:p>
                  <w:pPr>
                    <w:pStyle w:val="Compact"/>
                    <w:jc w:val="right"/>
                    <w:jc w:val="center"/>
                  </w:pPr>
                  <w:r>
                    <w:t xml:space="preserve">227.725</w:t>
                  </w:r>
                </w:p>
              </w:tc>
              <w:tc>
                <w:tcPr/>
                <w:p>
                  <w:pPr>
                    <w:pStyle w:val="Compact"/>
                    <w:jc w:val="right"/>
                    <w:jc w:val="center"/>
                  </w:pPr>
                  <w:r>
                    <w:t xml:space="preserve">25.3217</w:t>
                  </w:r>
                </w:p>
              </w:tc>
              <w:tc>
                <w:tcPr/>
                <w:p>
                  <w:pPr>
                    <w:pStyle w:val="Compact"/>
                    <w:jc w:val="right"/>
                    <w:jc w:val="center"/>
                  </w:pPr>
                  <w:r>
                    <w:t xml:space="preserve">48.5354</w:t>
                  </w:r>
                </w:p>
              </w:tc>
              <w:tc>
                <w:tcPr/>
                <w:p>
                  <w:pPr>
                    <w:pStyle w:val="Compact"/>
                    <w:jc w:val="right"/>
                    <w:jc w:val="center"/>
                  </w:pPr>
                  <w:r>
                    <w:t xml:space="preserve">7.61146</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76"/>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7"/>
    <w:bookmarkStart w:id="83"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witk</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81" w:name="suppfig-frequency_model_comparison"/>
          <w:p>
            <w:pPr>
              <w:pStyle w:val="Compact"/>
              <w:jc w:val="center"/>
            </w:pPr>
            <w:r>
              <w:drawing>
                <wp:inline>
                  <wp:extent cx="5334000" cy="5418265"/>
                  <wp:effectExtent b="0" l="0" r="0" t="0"/>
                  <wp:docPr descr="" title="" id="79" name="Picture"/>
                  <a:graphic>
                    <a:graphicData uri="http://schemas.openxmlformats.org/drawingml/2006/picture">
                      <pic:pic>
                        <pic:nvPicPr>
                          <pic:cNvPr descr="index_files/figure-docx/S2-choice_model_comparison-suppfig-frequency_model_comparison-output-1.png" id="80" name="Picture"/>
                          <pic:cNvPicPr>
                            <a:picLocks noChangeArrowheads="1" noChangeAspect="1"/>
                          </pic:cNvPicPr>
                        </pic:nvPicPr>
                        <pic:blipFill>
                          <a:blip r:embed="rId78"/>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8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82"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8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3"/>
    <w:bookmarkEnd w:id="84"/>
    <w:bookmarkStart w:id="138" w:name="parameters-recovery"/>
    <w:p>
      <w:pPr>
        <w:pStyle w:val="Heading3"/>
      </w:pPr>
      <w:r>
        <w:t xml:space="preserve">9.4 Parameters recovery:</w:t>
      </w:r>
    </w:p>
    <w:p>
      <w:pPr>
        <w:pStyle w:val="FirstParagraph"/>
      </w:pPr>
      <w:r>
        <w:t xml:space="preserve">In the main text, the preference model was observed to fit participants behaviour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88" w:name="suppfig-population_parameter_recovery"/>
          <w:p>
            <w:pPr>
              <w:pStyle w:val="Compact"/>
              <w:jc w:val="center"/>
            </w:pPr>
            <w:r>
              <w:drawing>
                <wp:inline>
                  <wp:extent cx="5334000" cy="3088579"/>
                  <wp:effectExtent b="0" l="0" r="0" t="0"/>
                  <wp:docPr descr="" title="" id="86" name="Picture"/>
                  <a:graphic>
                    <a:graphicData uri="http://schemas.openxmlformats.org/drawingml/2006/picture">
                      <pic:pic>
                        <pic:nvPicPr>
                          <pic:cNvPr descr="index_files/figure-docx/S3-parameters_recovery-suppfig-population_parameter_recovery-output-1.png" id="87" name="Picture"/>
                          <pic:cNvPicPr>
                            <a:picLocks noChangeArrowheads="1" noChangeAspect="1"/>
                          </pic:cNvPicPr>
                        </pic:nvPicPr>
                        <pic:blipFill>
                          <a:blip r:embed="rId85"/>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8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37" w:name="refs"/>
    <w:bookmarkStart w:id="89"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89"/>
    <w:bookmarkStart w:id="90"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90"/>
    <w:bookmarkStart w:id="91"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91"/>
    <w:bookmarkStart w:id="92"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92"/>
    <w:bookmarkStart w:id="93"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93"/>
    <w:bookmarkStart w:id="94"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94"/>
    <w:bookmarkStart w:id="95"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95"/>
    <w:bookmarkStart w:id="97"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96">
        <w:r>
          <w:rPr>
            <w:rStyle w:val="Hyperlink"/>
          </w:rPr>
          <w:t xml:space="preserve">https://doi.org/10.18637/jss.v103.i15</w:t>
        </w:r>
      </w:hyperlink>
      <w:r>
        <w:t xml:space="preserve">.</w:t>
      </w:r>
    </w:p>
    <w:bookmarkEnd w:id="97"/>
    <w:bookmarkStart w:id="98"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98"/>
    <w:bookmarkStart w:id="99"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99"/>
    <w:bookmarkStart w:id="100"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100"/>
    <w:bookmarkStart w:id="101"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101"/>
    <w:bookmarkStart w:id="102"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102"/>
    <w:bookmarkStart w:id="103"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103"/>
    <w:bookmarkStart w:id="104"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104"/>
    <w:bookmarkStart w:id="105"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105"/>
    <w:bookmarkStart w:id="106"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106"/>
    <w:bookmarkStart w:id="107"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107"/>
    <w:bookmarkStart w:id="108"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108"/>
    <w:bookmarkStart w:id="109"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109"/>
    <w:bookmarkStart w:id="110"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110"/>
    <w:bookmarkStart w:id="111"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111"/>
    <w:bookmarkStart w:id="112"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112"/>
    <w:bookmarkStart w:id="113"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113"/>
    <w:bookmarkStart w:id="114"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114"/>
    <w:bookmarkStart w:id="115"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115"/>
    <w:bookmarkStart w:id="116"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116"/>
    <w:bookmarkStart w:id="118"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117">
        <w:r>
          <w:rPr>
            <w:rStyle w:val="Hyperlink"/>
          </w:rPr>
          <w:t xml:space="preserve">https://doi.org/10.1016/j.neuroimage.2022.119222</w:t>
        </w:r>
      </w:hyperlink>
      <w:r>
        <w:t xml:space="preserve">.</w:t>
      </w:r>
    </w:p>
    <w:bookmarkEnd w:id="118"/>
    <w:bookmarkStart w:id="120"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119">
        <w:r>
          <w:rPr>
            <w:rStyle w:val="Hyperlink"/>
          </w:rPr>
          <w:t xml:space="preserve">https://doi.org/10.5281/zenodo.6328296</w:t>
        </w:r>
      </w:hyperlink>
      <w:r>
        <w:t xml:space="preserve">.</w:t>
      </w:r>
    </w:p>
    <w:bookmarkEnd w:id="120"/>
    <w:bookmarkStart w:id="121"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121"/>
    <w:bookmarkStart w:id="122"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122"/>
    <w:bookmarkStart w:id="123"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123"/>
    <w:bookmarkStart w:id="124"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124"/>
    <w:bookmarkStart w:id="125"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125"/>
    <w:bookmarkStart w:id="126"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126"/>
    <w:bookmarkStart w:id="127"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27"/>
    <w:bookmarkStart w:id="128"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28"/>
    <w:bookmarkStart w:id="129"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29"/>
    <w:bookmarkStart w:id="130"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30"/>
    <w:bookmarkStart w:id="131"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31"/>
    <w:bookmarkStart w:id="132"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32"/>
    <w:bookmarkStart w:id="133"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33"/>
    <w:bookmarkStart w:id="134"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34"/>
    <w:bookmarkStart w:id="135"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35"/>
    <w:bookmarkStart w:id="136"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36"/>
    <w:bookmarkEnd w:id="137"/>
    <w:bookmarkEnd w:id="138"/>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48" Target="media/rId48.png" /><Relationship Type="http://schemas.openxmlformats.org/officeDocument/2006/relationships/hyperlink" Id="rId9" Target="https://AlexLepauvre.github.io/state_abstraction_paper/index.ipynb.html" TargetMode="External" /><Relationship Type="http://schemas.openxmlformats.org/officeDocument/2006/relationships/hyperlink" Id="rId117" Target="https://doi.org/10.1016/j.neuroimage.2022.119222" TargetMode="External" /><Relationship Type="http://schemas.openxmlformats.org/officeDocument/2006/relationships/hyperlink" Id="rId96" Target="https://doi.org/10.18637/jss.v103.i15" TargetMode="External" /><Relationship Type="http://schemas.openxmlformats.org/officeDocument/2006/relationships/hyperlink" Id="rId119"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 Target="https://AlexLepauvre.github.io/state_abstraction_paper/index.ipynb.html" TargetMode="External" /><Relationship Type="http://schemas.openxmlformats.org/officeDocument/2006/relationships/hyperlink" Id="rId117" Target="https://doi.org/10.1016/j.neuroimage.2022.119222" TargetMode="External" /><Relationship Type="http://schemas.openxmlformats.org/officeDocument/2006/relationships/hyperlink" Id="rId96" Target="https://doi.org/10.18637/jss.v103.i15" TargetMode="External" /><Relationship Type="http://schemas.openxmlformats.org/officeDocument/2006/relationships/hyperlink" Id="rId119"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Kiebel</dc:creator>
  <cp:keywords>Decision making, Reinforcement learning</cp:keywords>
  <dcterms:created xsi:type="dcterms:W3CDTF">2026-09-17T14:52:21Z</dcterms:created>
  <dcterms:modified xsi:type="dcterms:W3CDTF">2026-09-17T14:52:21Z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2026-09-17</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