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63.png" ContentType="image/png"/>
  <Override PartName="/word/media/rId77.png" ContentType="image/png"/>
  <Override PartName="/word/media/rId71.png" ContentType="image/png"/>
  <Override PartName="/word/media/rId84.png" ContentType="image/png"/>
  <Override PartName="/word/media/rId35.png" ContentType="image/png"/>
  <Override PartName="/word/media/rId39.png" ContentType="image/png"/>
  <Override PartName="/word/media/rId43.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 preferences</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2026-07-27</w:t>
      </w:r>
    </w:p>
    <w:p>
      <w:pPr>
        <w:pStyle w:val="AbstractTitle"/>
      </w:pPr>
      <w:r>
        <w:t xml:space="preserve">Abstract</w:t>
      </w:r>
    </w:p>
    <w:p>
      <w:pPr>
        <w:pStyle w:val="Abstract"/>
      </w:pPr>
      <w:r>
        <w:t xml:space="preserve">[]</w:t>
      </w:r>
    </w:p>
    <w:bookmarkStart w:id="10"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Rao and Ballard 1999;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The Bayesian solution is therefore to combine current evidence with prior information. As formulated in the ‘Bayesian brain hypothesis’, the influence of prior information should depend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planning-based decision making. In this case, the role of sensory evidence is taken by an internally generated estimate of action value. In sequential decision tasks, such estimates are assumed to be generated by internal forward planning, which provides state-specific information about the long-value of choosing an action. However, generating these estimates is assumed to be computationally costly because it requires evaluating future outcomes in complex and dynamic environments. In analogy to the Bayesian view on perception, agents may therefore combine their evidence, i.e. their internal estimates, with stored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2024)</w:t>
      </w:r>
      <w:r>
        <w:t xml:space="preserve">.</w:t>
      </w:r>
    </w:p>
    <w:p>
      <w:pPr>
        <w:pStyle w:val="BodyText"/>
      </w:pPr>
      <w:r>
        <w:t xml:space="preserve">Building on Bayesian accounts of prior–evidence integration and resource-rational accounts of costly planning, we assume that choices in complex sequential decision making reflect the integration of two sources of information about action. First, participants have acquired, for example during training, task-structured preferences that reflect regularities in the task structure and their own experience within the task. Second, as is typically modelled in reinforcement learning, for each trial, participants use forward planning to derive values for each available action in an online fashion. Assuming a Bayesian approach, we hypothesize that these two sources are integrated by weighting the contribution of planning against preferences by their respective uncertainties. This hypothesis implies that on trials with strong preferences, these should guide choices and produce faster responses because less planning is needed. On trials with weak or uncertain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benchmark and ask whether participants’ deviations from this benchmark are systematic and better explained by task-structured preferences. We compare against several alternative models of how participants may combine planning-derived decision values with potential preferences. Our results show that participants’ choices are best captured by a model that combines planning-derived decision values with state-dependent preferences constructed from multiple task features. We further show in additional analyses that these preferences interact with planning such that choices are guided more strongly by planning when preferences are weak, and more strongly by preferences when they are decisive. Together, these findings suggest that, in complex sequential decision problems, costly forward planning is integrated with structured, task-informed preferences that enable faster and less computationally demanding choices when they provide a clear action tendency.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34" w:name="methods"/>
    <w:p>
      <w:pPr>
        <w:pStyle w:val="Heading2"/>
      </w:pPr>
      <w:r>
        <w:t xml:space="preserve">2 Methods</w:t>
      </w:r>
    </w:p>
    <w:bookmarkStart w:id="15" w:name="data"/>
    <w:p>
      <w:pPr>
        <w:pStyle w:val="Heading3"/>
      </w:pPr>
      <w:r>
        <w:t xml:space="preserve">2.1 Data</w:t>
      </w:r>
    </w:p>
    <w:p>
      <w:pPr>
        <w:pStyle w:val="FirstParagraph"/>
      </w:pPr>
      <w:r>
        <w:t xml:space="preserve">To test our hypothesis, we reused data from a previously published study by</w:t>
      </w:r>
      <w:r>
        <w:t xml:space="preserve"> </w:t>
      </w:r>
      <w:r>
        <w:t xml:space="preserve">Ott et al. (2022a)</w:t>
      </w:r>
      <w:r>
        <w:t xml:space="preserve"> </w:t>
      </w:r>
      <w:r>
        <w:t xml:space="preserve">and colleagues, in which 40 participants (22, mean age=24.4, SD=4.6) took part in a sequential decision making task</w:t>
      </w:r>
      <w:r>
        <w:t xml:space="preserve"> </w:t>
      </w:r>
      <w:r>
        <w:t xml:space="preserve">(Ott et al. 2022a, 2022b)</w:t>
      </w:r>
      <w:r>
        <w:t xml:space="preserve">. The study was approved by the Institutional Review Board of the Technische Universität Dresden and conducted in accordance to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LC respectively). When they rejected the offer, they gained 1 energy point. Participants’ energy level was capped at 6, so their energy could range from 0 (depleted energy) to 6 (max energy). Offers varied in each trial following a uniform distribution (equal probability of each offer in each trial).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costs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4"/>
        </w:tc>
      </w:tr>
    </w:tbl>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depleted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In the beginning of each trial, a fixation cross was presented for 0.5s in the middle of the screen. Then, an offer appeared represented by the number of “cups” presented in the middle of the screen and choice options were presented on each side of the screen, surrounded by a black frame. Participants had 5s to provide an answer, by selecting one or the other options (accept or reject), in which case the frame around the chosen option disappeared. Following their choice, the resulting change in energy and points were displayed (green indicating an increase in point and/or energy, red indicating a decrease in energy) for 1s. The trial ended with an inter-trial interval (ITI) ranging from 2 to 5s (uniformly sampled, rounded to the first decimal) in which the offer disappeared and unframed choice options remained on screen. If participants took longer than 5s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conducted the experiment consisting of 240 trials (60 segments). Participants started with an energy budget of 3, and their reward points were accumulated throughout the entire experiment. Trial sequence was pseudorandomized, such that each costs transitions (LC to LC, LC to HC, HC to LC and HC to HC, see</w:t>
      </w:r>
      <w:r>
        <w:t xml:space="preserve"> </w:t>
      </w:r>
      <w:hyperlink w:anchor="fig-design">
        <w:r>
          <w:rPr>
            <w:rStyle w:val="Hyperlink"/>
          </w:rPr>
          <w:t xml:space="preserve">Figure 1</w:t>
        </w:r>
      </w:hyperlink>
      <w:r>
        <w:t xml:space="preserve"> </w:t>
      </w:r>
      <w:r>
        <w:t xml:space="preserve">C) occurred equally often within the training and test sessions, resulting in 9 repetition of each transition in the training session and 15 in the experiment. In addition, the offer were sampled to be equally distributed within each transition. The sequence of costs transitions and offers was kept the same across participants. Participants were offered two to three minutes breaks inside the scanner every 20 segments. The test sessions lasted around 40min.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6" w:name="forward-planning-component"/>
    <w:p>
      <w:pPr>
        <w:pStyle w:val="Heading3"/>
      </w:pPr>
      <w:r>
        <w:t xml:space="preserve">2.2 Forward planning component</w:t>
      </w:r>
    </w:p>
    <w:p>
      <w:pPr>
        <w:pStyle w:val="FirstParagraph"/>
      </w:pPr>
      <w:r>
        <w:t xml:space="preserve">To model optimal behaviour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behaviour would require considering outcomes up until the end of the task, we modelled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task only over these eight trials would implicitly treat the task as ending after the upcoming segment, leading the optimal policy to spend all remaining energy by the end of that horizon. To avoid this terminal artefact, we included one additional segment beyond the instructed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9" w:name="modelling-of-participants-responses"/>
    <w:p>
      <w:pPr>
        <w:pStyle w:val="Heading3"/>
      </w:pPr>
      <w:r>
        <w:t xml:space="preserve">2.3 Modelling of participants responses</w:t>
      </w:r>
    </w:p>
    <w:p>
      <w:pPr>
        <w:pStyle w:val="FirstParagraph"/>
      </w:pPr>
      <w:r>
        <w:t xml:space="preserve">Participants behaviour were modeled using a logistic regression:</w:t>
      </w:r>
    </w:p>
    <w:p>
      <w:pPr>
        <w:pStyle w:val="BodyText"/>
      </w:pPr>
      <w:bookmarkStart w:id="17" w:name="eq-logistic_reg"/>
      <m:oMathPara>
        <m:oMathParaPr>
          <m:jc m:val="center"/>
        </m:oMathParaPr>
        <m:oMath>
          <m:r>
            <m:t>P</m:t>
          </m:r>
          <m:r>
            <m:rPr>
              <m:sty m:val="p"/>
            </m:rPr>
            <m:t>(</m:t>
          </m:r>
          <m:r>
            <m:t>a</m:t>
          </m:r>
          <m:r>
            <m:rPr>
              <m:sty m:val="p"/>
            </m:rPr>
            <m:t>=</m:t>
          </m:r>
          <m:r>
            <m:t>1</m:t>
          </m:r>
          <m:r>
            <m:rPr>
              <m:sty m:val="p"/>
            </m:rPr>
            <m:t>)</m:t>
          </m:r>
          <m:r>
            <m:rPr>
              <m:sty m:val="p"/>
            </m:rPr>
            <m:t>=</m:t>
          </m:r>
          <m:f>
            <m:fPr>
              <m:type m:val="bar"/>
            </m:fPr>
            <m:num>
              <m:r>
                <m:t>1</m:t>
              </m:r>
            </m:num>
            <m:den>
              <m:r>
                <m:t>1</m:t>
              </m:r>
              <m:r>
                <m:rPr>
                  <m:sty m:val="p"/>
                </m:rPr>
                <m:t>+</m:t>
              </m:r>
              <m:sSup>
                <m:e>
                  <m:r>
                    <m:t>e</m:t>
                  </m:r>
                </m:e>
                <m:sup>
                  <m:r>
                    <m:rPr>
                      <m:sty m:val="p"/>
                    </m:rPr>
                    <m:t>−</m:t>
                  </m:r>
                  <m:r>
                    <m:t>η</m:t>
                  </m:r>
                </m:sup>
              </m:sSup>
            </m:den>
          </m:f>
          <m:r>
            <m:t>  </m:t>
          </m:r>
          <m:r>
            <m:rPr>
              <m:sty m:val="p"/>
            </m:rPr>
            <m:t>(</m:t>
          </m:r>
          <m:r>
            <m:t>1</m:t>
          </m:r>
          <m:r>
            <m:rPr>
              <m:sty m:val="p"/>
            </m:rPr>
            <m:t>)</m:t>
          </m:r>
        </m:oMath>
      </m:oMathPara>
      <w:bookmarkEnd w:id="17"/>
    </w:p>
    <w:p>
      <w:pPr>
        <w:pStyle w:val="FirstParagraph"/>
      </w:pPr>
      <w:r>
        <w:t xml:space="preserve">We specified four models that differed in how the linear predictor</w:t>
      </w:r>
      <w:r>
        <w:t xml:space="preserve"> </w:t>
      </w:r>
      <m:oMath>
        <m:r>
          <m:t>η</m:t>
        </m:r>
      </m:oMath>
      <w:r>
        <w:t xml:space="preserve"> </w:t>
      </w:r>
      <w:r>
        <w:t xml:space="preserve">was specified. All models included planning-derived DV, but differed in the additional regressors used to explain systematic deviations from optimal planning. We describe these models in the following, starting with the pure planning model as a benchmark and then adding increasingly structured accounts of participants’ deviations from optimal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9" w:name="planning-model"/>
    <w:p>
      <w:pPr>
        <w:pStyle w:val="Heading4"/>
      </w:pPr>
      <w:r>
        <w:t xml:space="preserve">2.3.1 Planning model</w:t>
      </w:r>
    </w:p>
    <w:p>
      <w:pPr>
        <w:pStyle w:val="FirstParagraph"/>
      </w:pPr>
      <w:r>
        <w:t xml:space="preserve">To test whether there is any systematicity in participants deviations from optimality, we first specified a pure planning model, in which participants responses is modeled as a function of DV only:</w:t>
      </w:r>
    </w:p>
    <w:p>
      <w:pPr>
        <w:pStyle w:val="BodyText"/>
      </w:pPr>
      <w:bookmarkStart w:id="18"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18"/>
    </w:p>
    <w:p>
      <w:pPr>
        <w:pStyle w:val="FirstParagraph"/>
      </w:pPr>
      <w:r>
        <w:t xml:space="preserve">This model acted as a benchmark. If the suboptimality (i.e. deviations from forward planning only) in participants responses reflects unstructured noise, alternative models with additional regressors would only increase model complexity but not accuracy.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2" w:name="frequency-prior-model"/>
    <w:p>
      <w:pPr>
        <w:pStyle w:val="Heading4"/>
      </w:pPr>
      <w:r>
        <w:t xml:space="preserve">2.3.2 Frequency prior model</w:t>
      </w:r>
    </w:p>
    <w:p>
      <w:pPr>
        <w:pStyle w:val="FirstParagraph"/>
      </w:pPr>
      <w:r>
        <w:t xml:space="preserve">Alternatively, participants deviations from optimality might reflect a recency bias, whereby participants choice on a given trial is biased towards the most frequent action in recent history. Recent accounts of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w:t>
      </w:r>
      <w:r>
        <w:t xml:space="preserve"> </w:t>
      </w:r>
      <w:r>
        <w:rPr>
          <w:b/>
          <w:bCs/>
        </w:rPr>
        <w:t xml:space="preserve">frequency model</w:t>
      </w:r>
      <w:r>
        <w:t xml:space="preserve">, which models participants responses as a function of DV combined with a recency bias:</w:t>
      </w:r>
    </w:p>
    <w:p>
      <w:pPr>
        <w:pStyle w:val="BodyText"/>
      </w:pPr>
      <w:bookmarkStart w:id="20"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r>
                <m:t>β</m:t>
              </m:r>
              <m:r>
                <m:t>p</m:t>
              </m:r>
              <m:r>
                <m:t>l</m:t>
              </m:r>
              <m:r>
                <m:t>a</m:t>
              </m:r>
              <m:r>
                <m:t>n</m:t>
              </m:r>
              <m:r>
                <m:rPr>
                  <m:sty m:val="p"/>
                </m:rPr>
                <m:t>×</m:t>
              </m:r>
              <m:r>
                <m:t>D</m:t>
              </m:r>
              <m:r>
                <m:t>V</m:t>
              </m:r>
              <m:r>
                <m:rPr>
                  <m:sty m:val="p"/>
                </m:rPr>
                <m:t>+</m:t>
              </m:r>
              <m:r>
                <m:t>β</m:t>
              </m:r>
              <m:r>
                <m:t>p</m:t>
              </m:r>
              <m:r>
                <m:t>r</m:t>
              </m:r>
              <m:r>
                <m:t>i</m:t>
              </m:r>
              <m:r>
                <m:t>o</m:t>
              </m:r>
              <m:r>
                <m:t>r</m:t>
              </m:r>
              <m:r>
                <m:rPr>
                  <m:sty m:val="p"/>
                </m:rPr>
                <m:t>×</m:t>
              </m:r>
              <m:r>
                <m:t>P</m:t>
              </m:r>
              <m:r>
                <m:rPr>
                  <m:sty m:val="p"/>
                </m:rPr>
                <m:t>(</m:t>
              </m:r>
              <m:r>
                <m:t>A</m:t>
              </m:r>
              <m:r>
                <m:rPr>
                  <m:sty m:val="p"/>
                </m:rPr>
                <m:t>)</m:t>
              </m:r>
            </m:e>
          </m:eqArr>
          <m:r>
            <m:t>  </m:t>
          </m:r>
          <m:r>
            <m:rPr>
              <m:sty m:val="p"/>
            </m:rPr>
            <m:t>(</m:t>
          </m:r>
          <m:r>
            <m:t>3</m:t>
          </m:r>
          <m:r>
            <m:rPr>
              <m:sty m:val="p"/>
            </m:rPr>
            <m:t>)</m:t>
          </m:r>
        </m:oMath>
      </m:oMathPara>
      <w:bookmarkEnd w:id="20"/>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 Supplementary 1 for exploration of the fit at different</w:t>
      </w:r>
      <w:r>
        <w:t xml:space="preserve"> </w:t>
      </w:r>
      <m:oMath>
        <m:r>
          <m:t>k</m:t>
        </m:r>
      </m:oMath>
      <w:r>
        <w:t xml:space="preserve">):</w:t>
      </w:r>
    </w:p>
    <w:p>
      <w:pPr>
        <w:pStyle w:val="BodyText"/>
      </w:pPr>
      <w:bookmarkStart w:id="21"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21"/>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2"/>
    <w:bookmarkStart w:id="24" w:name="context-model"/>
    <w:p>
      <w:pPr>
        <w:pStyle w:val="Heading4"/>
      </w:pPr>
      <w:r>
        <w:t xml:space="preserve">2.3.3 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groups of states as separate contexts in which they plan to different extents. We refer to this model as the</w:t>
      </w:r>
      <w:r>
        <w:t xml:space="preserve"> </w:t>
      </w:r>
      <w:r>
        <w:rPr>
          <w:b/>
          <w:bCs/>
        </w:rPr>
        <w:t xml:space="preserve">context model</w:t>
      </w:r>
      <w:r>
        <w:t xml:space="preserve">. Here, the planning component (DV) is split between extreme and intermediate offers (offers [1, 4] and [2, 3] respectively) to reflect the fact that participants treat those as separate contexts, with different control requirements. In addition, the model comprise offer specific and energy related flexible biases regressors:</w:t>
      </w:r>
    </w:p>
    <w:p>
      <w:pPr>
        <w:pStyle w:val="BodyText"/>
      </w:pPr>
      <w:bookmarkStart w:id="23" w:name="eq-context-model"/>
      <m:oMathPara>
        <m:oMathParaPr>
          <m:jc m:val="center"/>
        </m:oMathParaPr>
        <m:oMath>
          <m:eqArr>
            <m:e>
              <m:sSub>
                <m:e>
                  <m:r>
                    <m:t>η</m:t>
                  </m:r>
                </m:e>
                <m:sub>
                  <m:r>
                    <m:t>c</m:t>
                  </m:r>
                  <m:r>
                    <m:t>o</m:t>
                  </m:r>
                  <m:r>
                    <m:t>n</m:t>
                  </m:r>
                  <m:r>
                    <m:t>t</m:t>
                  </m:r>
                  <m:r>
                    <m:t>e</m:t>
                  </m:r>
                  <m:r>
                    <m:t>x</m:t>
                  </m:r>
                  <m:r>
                    <m:t>t</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23"/>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4"/>
    <w:bookmarkStart w:id="28" w:name="preferences-model"/>
    <w:p>
      <w:pPr>
        <w:pStyle w:val="Heading4"/>
      </w:pPr>
      <w:r>
        <w:t xml:space="preserve">2.3.4 Preferences model</w:t>
      </w:r>
    </w:p>
    <w:p>
      <w:pPr>
        <w:pStyle w:val="FirstParagraph"/>
      </w:pPr>
      <w:r>
        <w:t xml:space="preserve">Finally, we specified a preference model to test whether participants’ choices reflect the integration of forward planning with task-structured preferences. The model contains three components. First, as in the planning model, choices depend on the planning-derived decision value. Second, choices depend on a state-dependent preference score. This preference score is constructed by assigning weights to the levels of the main task features, namely offer, energy, current cost, and future cost, and linearly combining the corresponding weights for the current state. Third, the model includes a modulation term that tests whether the influence of planning depends on the uncertainty of the preference score. We quantified this uncertainty as the entropy of the preference-derived action tendency. The model therefore tests the prediction that participants rely more strongly on planning when their preferences are weak or uncertain:</w:t>
      </w:r>
    </w:p>
    <w:p>
      <w:pPr>
        <w:pStyle w:val="BodyText"/>
      </w:pPr>
      <w:bookmarkStart w:id="25"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t>e</m:t>
              </m:r>
              <m:r>
                <m:t>r</m:t>
              </m:r>
              <m:r>
                <m:t>p</m:t>
              </m:r>
              <m:r>
                <m:t>r</m:t>
              </m:r>
              <m:r>
                <m:t>e</m:t>
              </m:r>
              <m:r>
                <m:t>f</m:t>
              </m:r>
              <m:r>
                <m:t>e</m:t>
              </m:r>
              <m:r>
                <m:t>n</m:t>
              </m:r>
              <m:r>
                <m:t>c</m:t>
              </m:r>
              <m:r>
                <m:t>e</m:t>
              </m:r>
              <m:r>
                <m:t>s</m:t>
              </m:r>
              <m:r>
                <m:rPr>
                  <m:sty m:val="p"/>
                </m:rPr>
                <m:t>)</m:t>
              </m:r>
              <m:r>
                <m:rPr>
                  <m:sty m:val="p"/>
                </m:rPr>
                <m:t>×</m:t>
              </m:r>
              <m:r>
                <m:t>D</m:t>
              </m:r>
              <m:r>
                <m:t>V</m:t>
              </m:r>
              <m:r>
                <m:rPr>
                  <m:sty m:val="p"/>
                </m:rPr>
                <m:t>)</m:t>
              </m:r>
            </m:e>
          </m:eqArr>
          <m:r>
            <m:t>  </m:t>
          </m:r>
          <m:r>
            <m:rPr>
              <m:sty m:val="p"/>
            </m:rPr>
            <m:t>(</m:t>
          </m:r>
          <m:r>
            <m:t>6</m:t>
          </m:r>
          <m:r>
            <m:rPr>
              <m:sty m:val="p"/>
            </m:rPr>
            <m:t>)</m:t>
          </m:r>
        </m:oMath>
      </m:oMathPara>
      <w:bookmarkEnd w:id="25"/>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26"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26"/>
    </w:p>
    <w:p>
      <w:pPr>
        <w:pStyle w:val="FirstParagraph"/>
      </w:pPr>
      <w:r>
        <w:t xml:space="preserve">With:</w:t>
      </w:r>
    </w:p>
    <w:p>
      <w:pPr>
        <w:pStyle w:val="BodyText"/>
      </w:pPr>
      <w:bookmarkStart w:id="27"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27"/>
    </w:p>
    <w:p>
      <w:pPr>
        <w:pStyle w:val="FirstParagraph"/>
      </w:pPr>
      <w:r>
        <w:t xml:space="preserve">Participants features dependent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setup (energy, offer, current and future costs), and</w:t>
      </w:r>
      <w:r>
        <w:t xml:space="preserve"> </w:t>
      </w:r>
      <m:oMath>
        <m:r>
          <m:rPr>
            <m:sty m:val="b"/>
          </m:rPr>
          <m:t>β</m:t>
        </m:r>
      </m:oMath>
      <w:r>
        <w:t xml:space="preserve"> </w:t>
      </w:r>
      <w:r>
        <w:t xml:space="preserve">is a vector of weights estimated for each level of each factor.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30" w:name="model-fitting-and-comparison"/>
    <w:p>
      <w:pPr>
        <w:pStyle w:val="Heading3"/>
      </w:pPr>
      <w:r>
        <w:t xml:space="preserve">2.4 Model fitting and comparison</w:t>
      </w:r>
    </w:p>
    <w:p>
      <w:pPr>
        <w:pStyle w:val="FirstParagraph"/>
      </w:pPr>
      <w:r>
        <w:t xml:space="preserve">Models were fitted to participants’ response data as Bayesian hierarchical logistic regressions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when reaction time (RT) exceeded the response window (5s).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 model comparison within each single subject to estimate the robustness of the winning model in our population sample, by computing the sum of the pointwise predictive accuracy for each participant and model, yielding a score for each participant and model.</w:t>
      </w:r>
    </w:p>
    <w:p>
      <w:pPr>
        <w:pStyle w:val="BodyText"/>
      </w:pPr>
      <w:r>
        <w:t xml:space="preserve">Each of the four main models presented in the main text was compared against alternative parameterizations to ensure the robustness of our findings and rule out alternative explanations. For example, the frequency 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context model was selected from a prior study</w:t>
      </w:r>
      <w:r>
        <w:t xml:space="preserve"> </w:t>
      </w:r>
      <w:r>
        <w:t xml:space="preserve">(Ott et al. 2022a)</w:t>
      </w:r>
      <w:r>
        <w:t xml:space="preserve"> </w:t>
      </w:r>
      <w:r>
        <w:t xml:space="preserve">after comparison with 21 alternatives. Similarly, reduced versions of the preferences model were tested against the full model by removing each component (planning, prefefrences and interactions) as well as individual task factors (see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context, and preferences) in the main text, with comparisons to all alternatives detailed in the supplementary material.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Start w:id="31" w:name="experimental-factors-relevance-analysis"/>
    <w:p>
      <w:pPr>
        <w:pStyle w:val="Heading3"/>
      </w:pPr>
      <w:r>
        <w:t xml:space="preserve">2.5 Experimental factors relevance analysis</w:t>
      </w:r>
    </w:p>
    <w:p>
      <w:pPr>
        <w:pStyle w:val="FirstParagraph"/>
      </w:pPr>
      <w:r>
        <w:t xml:space="preserve">The preference model estimates feature-specific preference weights for each task factor (energy, offer, current and future costs), revealing that participants’ deviations from optimal planning are more strongly driven by some factors of the task (energy and offers) than others (current and future costs). To quantify the behavioral contribution of each factor, we compared the full preference model to reduced models in which all preference regressors associated with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planning are systematically influenced by certain task features raises the question of whether preferences constitute unhelpful biases (suboptimal tendencies without adaptive value in the task) or whether they reflect a structured yet simplified solution to the task? In other words, could participant’s preferences constitute a low dimensional decomposition of the optimal policy, providing a cheap alternative to guide behavior in the absence of planning? To test this hypothesis, we conducted a series of analyses to test whether factors’ weights in participants preferences relate to the structure of the task.</w:t>
      </w:r>
    </w:p>
    <w:p>
      <w:pPr>
        <w:pStyle w:val="BodyText"/>
      </w:pPr>
      <w:r>
        <w:t xml:space="preserve">First asked whether the factors that are strongly weighted in participants’ preferences are more relevant for reward maximization. For this purpose, we constructed reduced MDPs in which one task factor was omitted by averaging transition probabilities and rewards across the levels of that factor. We then computed the optimal policy in the reduced MDP, projected this policy back onto the full MDP, and calculated the expected return.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planning. We derived policies from the preference component of the full model and from reduced preference models in which one task factor was omitted. We then computed the expected return of each preference-derived policy relative to the optimal policy. If task-structured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In the policy-compression framework, compressed policies can be described in terms of marginal action probabilities. We therefore computed, under the optimal policy, the probability of accepting each level of each task factor after marginalizing over all other factors. For example, we computed how often an offer of 1 should be accepted across all energy and cost states. We then compared these factor-wise marginal action probabilities with the fitted preference weights. A close correspondence would suggest that participants’ preferences may approximate feature-specific marginal action tendencies of the optimal policy.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Start w:id="33" w:name="reaction-times-analysis"/>
    <w:p>
      <w:pPr>
        <w:pStyle w:val="Heading3"/>
      </w:pPr>
      <w:r>
        <w:t xml:space="preserve">2.6 Reaction times analysis</w:t>
      </w:r>
    </w:p>
    <w:p>
      <w:pPr>
        <w:pStyle w:val="FirstParagraph"/>
      </w:pPr>
      <w:r>
        <w:t xml:space="preserve">In our task, exact computation of optimal policy is prohibitively expensive, given the size of task’s state space (1456 states), the number of steps to be planned ahead and the highly probabilistic nature of the task. Preferences derived from task knowledge or from task experience are presumably readily available to the participants, or require minimal computation. A part of our hypothesis is that instead of systematically considering all future outcomes before making a choice, participants consider the strength of their preferences to determine how much they should engage in forward planning. If this were the case, we would expect participants’ RT to reflect the strength of their preferences, as stronger preferences should be associated with less planning, hence faster RT.</w:t>
      </w:r>
    </w:p>
    <w:p>
      <w:pPr>
        <w:pStyle w:val="BodyText"/>
      </w:pPr>
      <w:r>
        <w:t xml:space="preserve">Ott et al. (2022a)</w:t>
      </w:r>
      <w:r>
        <w:t xml:space="preserve"> </w:t>
      </w:r>
      <w:r>
        <w:t xml:space="preserve">showed that response times were slower when the planning-derived values of accepting and rejecting were similar, and that this conflict effect depended on task context, being stronger for intermediate than for extreme offers. Under our hypothesis, this context dependence should arise from a more general principle: the influence of planning conflict on response time should depend on the strength of participants’ task-structured preferences. When preferences are strong, participants should rely less on planning, reducing the influence of planning-derived value differences on choice and response time. In contrast, when their preferences are weak, they should engage in planning, making their choices and response times more sensitive to planning-derived value differences.</w:t>
      </w:r>
    </w:p>
    <w:p>
      <w:pPr>
        <w:pStyle w:val="BodyText"/>
      </w:pPr>
      <w:r>
        <w:t xml:space="preserve">To test whether the effect of planning conflict should depend on preferences strength, we modelled participants’ RTs as a function of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response choice model) and the modulation of planning by preference entropy:</w:t>
      </w:r>
    </w:p>
    <w:p>
      <w:pPr>
        <w:pStyle w:val="BodyText"/>
      </w:pPr>
      <w:bookmarkStart w:id="32"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  </m:t>
          </m:r>
          <m:r>
            <m:rPr>
              <m:sty m:val="p"/>
            </m:rPr>
            <m:t>(</m:t>
          </m:r>
          <m:r>
            <m:t>9</m:t>
          </m:r>
          <m:r>
            <m:rPr>
              <m:sty m:val="p"/>
            </m:rPr>
            <m:t>)</m:t>
          </m:r>
        </m:oMath>
      </m:oMathPara>
      <w:bookmarkEnd w:id="32"/>
    </w:p>
    <w:p>
      <w:pPr>
        <w:pStyle w:val="FirstParagraph"/>
      </w:pPr>
      <w:r>
        <w:t xml:space="preserve">We predicted a positive modulation, which would indicate that the larger the preference entropy (i.e. the weaker the preference), the larger the reliance on planning and the larger the RT.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3"/>
    <w:bookmarkEnd w:id="34"/>
    <w:bookmarkStart w:id="58" w:name="results"/>
    <w:p>
      <w:pPr>
        <w:pStyle w:val="Heading2"/>
      </w:pPr>
      <w:r>
        <w:t xml:space="preserve">3 Results</w:t>
      </w:r>
    </w:p>
    <w:p>
      <w:pPr>
        <w:pStyle w:val="FirstParagraph"/>
      </w:pPr>
      <w:r>
        <w:t xml:space="preserve">Performances indicate that participants were able to perform the task well. Participants provided their responses with an average reaction time of 0.90s</w:t>
      </w:r>
      <w:r>
        <w:t xml:space="preserve"> </w:t>
      </w:r>
      <m:oMath>
        <m:r>
          <m:rPr>
            <m:sty m:val="p"/>
          </m:rPr>
          <m:t>±</m:t>
        </m:r>
      </m:oMath>
      <w:r>
        <w:t xml:space="preserve"> </w:t>
      </w:r>
      <w:r>
        <w:t xml:space="preserve">0.26 (s.d.) and failed to give their response before time out in only 65.00%</w:t>
      </w:r>
      <w:r>
        <w:t xml:space="preserve"> </w:t>
      </w:r>
      <m:oMath>
        <m:r>
          <m:rPr>
            <m:sty m:val="p"/>
          </m:rPr>
          <m:t>±</m:t>
        </m:r>
      </m:oMath>
      <w:r>
        <w:t xml:space="preserve"> </w:t>
      </w:r>
      <w:r>
        <w:t xml:space="preserve">133.32 (s.d.) out of 240 trials. On average, participants obtained 332.43</w:t>
      </w:r>
      <w:r>
        <w:t xml:space="preserve"> </w:t>
      </w:r>
      <m:oMath>
        <m:r>
          <m:rPr>
            <m:sty m:val="p"/>
          </m:rPr>
          <m:t>±</m:t>
        </m:r>
      </m:oMath>
      <w:r>
        <w:t xml:space="preserve"> </w:t>
      </w:r>
      <w:r>
        <w:t xml:space="preserve">6.64 (s.d.) points on average throughout the experiment.</w:t>
      </w:r>
    </w:p>
    <w:bookmarkStart w:id="47" w:name="choice-behaviour"/>
    <w:p>
      <w:pPr>
        <w:pStyle w:val="Heading3"/>
      </w:pPr>
      <w:r>
        <w:t xml:space="preserve">3.1 Choice behaviour</w:t>
      </w:r>
    </w:p>
    <w:p>
      <w:pPr>
        <w:pStyle w:val="FirstParagraph"/>
      </w:pPr>
      <w:r>
        <w:t xml:space="preserve">We modelled participants response choices using 4 different models, to investigate the systematicity in participants deviations from optimal planning, which would be achieved by pure planning. As already found in</w:t>
      </w:r>
      <w:r>
        <w:t xml:space="preserve"> </w:t>
      </w:r>
      <w:r>
        <w:t xml:space="preserve">(Ott et al. 2022a)</w:t>
      </w:r>
      <w:r>
        <w:t xml:space="preserve">, participants’ responses systematically deviate from optimality: the pure planning model has the lowest fit compared to the other three models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=585.98</w:t>
      </w:r>
      <w:r>
        <w:t xml:space="preserve"> </w:t>
      </w:r>
      <m:oMath>
        <m:r>
          <m:rPr>
            <m:sty m:val="p"/>
          </m:rPr>
          <m:t>±</m:t>
        </m:r>
      </m:oMath>
      <w:r>
        <w:t xml:space="preserve"> </w:t>
      </w:r>
      <w:r>
        <w:t xml:space="preserve">55.58 s.e., see</w:t>
      </w:r>
      <w:r>
        <w:t xml:space="preserve"> </w:t>
      </w:r>
      <w:hyperlink w:anchor="fig-choicemdl">
        <w:r>
          <w:rPr>
            <w:rStyle w:val="Hyperlink"/>
          </w:rPr>
          <w:t xml:space="preserve">Figure 2</w:t>
        </w:r>
      </w:hyperlink>
      <w:r>
        <w:t xml:space="preserve"> </w:t>
      </w:r>
      <w:r>
        <w:t xml:space="preserve">A). Furthermore, our results indicate that participants biases do not reflect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=580.89</w:t>
      </w:r>
      <w:r>
        <w:t xml:space="preserve"> </w:t>
      </w:r>
      <m:oMath>
        <m:r>
          <m:rPr>
            <m:sty m:val="p"/>
          </m:rPr>
          <m:t>±</m:t>
        </m:r>
      </m:oMath>
      <w:r>
        <w:t xml:space="preserve"> </w:t>
      </w:r>
      <w:r>
        <w:t xml:space="preserve">55.57),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=164.21</w:t>
      </w:r>
      <w:r>
        <w:t xml:space="preserve"> </w:t>
      </w:r>
      <m:oMath>
        <m:r>
          <m:rPr>
            <m:sty m:val="p"/>
          </m:rPr>
          <m:t>±</m:t>
        </m:r>
      </m:oMath>
      <w:r>
        <w:t xml:space="preserve"> </w:t>
      </w:r>
      <w:r>
        <w:t xml:space="preserve">52.46). Rather, participants exhibit preferences derived from the structure of the task, as the Preference model was found to fit the data best (see</w:t>
      </w:r>
      <w:r>
        <w:t xml:space="preserve"> </w:t>
      </w:r>
      <w:hyperlink w:anchor="fig-choicemdl">
        <w:r>
          <w:rPr>
            <w:rStyle w:val="Hyperlink"/>
          </w:rPr>
          <w:t xml:space="preserve">Figure 2</w:t>
        </w:r>
      </w:hyperlink>
      <w:r>
        <w:t xml:space="preserve"> </w:t>
      </w:r>
      <w:r>
        <w:t xml:space="preserve">A).</w:t>
      </w:r>
    </w:p>
    <w:p>
      <w:pPr>
        <w:pStyle w:val="BodyText"/>
      </w:pPr>
      <w:r>
        <w:t xml:space="preserve">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match between observed and predicted responses separately for each model and offer values, where we can see that the proportion of matches is on average higher for the preference compared to all other models. This result is highly consistent across participants: the preference model fits the data best for 35 out of 40 participants (see</w:t>
      </w:r>
      <w:r>
        <w:t xml:space="preserve"> </w:t>
      </w:r>
      <w:hyperlink w:anchor="fig-choicemdl">
        <w:r>
          <w:rPr>
            <w:rStyle w:val="Hyperlink"/>
          </w:rPr>
          <w:t xml:space="preserve">Figure 2</w:t>
        </w:r>
      </w:hyperlink>
      <w:r>
        <w:t xml:space="preserve"> </w:t>
      </w:r>
      <w:r>
        <w:t xml:space="preserve">B).</w:t>
      </w:r>
    </w:p>
    <w:p>
      <w:pPr>
        <w:pStyle w:val="BodyText"/>
      </w:pPr>
      <w:r>
        <w:t xml:space="preserve">The estimated preference weights associated with each task factor reveal systematic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posterior of each fitted parameter). Participants tend to reject low offers (1 and 2) more often than optimal planning would suggest, while they are biased towards accepting high offers (3 and 4). These biases are stronger for extreme offers (1 and 4) compared to intermediate ones (2 and 3).Energy state also plays a critical role in shaping participants’ decisions. When energy is maxed out (e = 6), participants almost always accept offers, even when rejecting would be more reward-maximizing. This behavior is intuitive: rejecting offers at max energy does yield additional energy, so participants prioritize immediate rewards, even at the cost of future ones. In contrast, when energy is at 0, participants almost never accept offers, even though the planner predicts a small probability of acceptance (~0.25). This discrepancy arises because the planner calculates decision values (DVs) based on long-term returns, where the difference between accepting and rejecting at energy = 0 is negative but not particularly large. However, participants appear to adopt a stricter rejection policy, likely reflecting an aversion to accepting offers that yield no immediate benefit.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have a smaller impact on participants’ behavior, with a slight bias towards accepting offers when costs are low.</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8" w:name="fig-choicemdl"/>
          <w:p>
            <w:pPr>
              <w:pStyle w:val="Compact"/>
              <w:jc w:val="center"/>
            </w:pPr>
            <w:r>
              <w:drawing>
                <wp:inline>
                  <wp:extent cx="5334000" cy="6924476"/>
                  <wp:effectExtent b="0" l="0" r="0" t="0"/>
                  <wp:docPr descr="" title="" id="36" name="Picture"/>
                  <a:graphic>
                    <a:graphicData uri="http://schemas.openxmlformats.org/drawingml/2006/picture">
                      <pic:pic>
                        <pic:nvPicPr>
                          <pic:cNvPr descr="index_files/figure-docx/fig-choicemdl-output-1.png" id="37" name="Picture"/>
                          <pic:cNvPicPr>
                            <a:picLocks noChangeArrowheads="1" noChangeAspect="1"/>
                          </pic:cNvPicPr>
                        </pic:nvPicPr>
                        <pic:blipFill>
                          <a:blip r:embed="rId35"/>
                          <a:stretch>
                            <a:fillRect/>
                          </a:stretch>
                        </pic:blipFill>
                        <pic:spPr bwMode="auto">
                          <a:xfrm>
                            <a:off x="0" y="0"/>
                            <a:ext cx="5334000" cy="69244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see</w:t>
            </w:r>
            <w:r>
              <w:t xml:space="preserve"> </w:t>
            </w:r>
            <w:hyperlink w:anchor="supptbl-model_comparison">
              <w:r>
                <w:rPr>
                  <w:rStyle w:val="Hyperlink"/>
                </w:rPr>
                <w:t xml:space="preserve">Table S1</w:t>
              </w:r>
            </w:hyperlink>
            <w:r>
              <w:t xml:space="preserve"> </w:t>
            </w:r>
            <w:r>
              <w:t xml:space="preserve">for model comparison results). (B) Model fit for each participant, color coded per model of best fit. (C) Observed and fitted probability of accepting the offer separately for each offer by each of the models. The single dots represent the average acceptance probability for each subject. (D) Fitted preference parameters of the preference model. Top left figure depicts the parameters associated with offer parameters, top right associated with each cost, bottom with each energy level. The bar in the middle of each distribution is the median and the dotted lines represent the 2.5 and 97.5% quantiles. The dots represent the mean of the parameter estimated for each participant</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tested the central prediction that the influence of planning should depend on the certainty of the preference signal. The preference model revealed a positive modulation of planning by preference entropy (</w:t>
      </w:r>
      <m:oMath>
        <m:sSub>
          <m:e>
            <m:r>
              <m:t>β</m:t>
            </m:r>
          </m:e>
          <m:sub>
            <m:r>
              <m:t>m</m:t>
            </m:r>
            <m:r>
              <m:t>o</m:t>
            </m:r>
            <m:r>
              <m:t>d</m:t>
            </m:r>
            <m:r>
              <m:t>u</m:t>
            </m:r>
            <m:r>
              <m:t>l</m:t>
            </m:r>
            <m:r>
              <m:t>a</m:t>
            </m:r>
            <m:r>
              <m:t>t</m:t>
            </m:r>
            <m:r>
              <m:t>i</m:t>
            </m:r>
            <m:r>
              <m:t>o</m:t>
            </m:r>
            <m:r>
              <m:t>n</m:t>
            </m:r>
          </m:sub>
        </m:sSub>
      </m:oMath>
      <w:r>
        <w:t xml:space="preserve">=1.31, CI=[0.36, 2.25]), indicating that planning-derived DV had a stronger influence on choices when preferences were more uncertain. Conversely, when preferences were strong, choices were less sensitive to planning-derived decision values and were more strongly guided by the preference component.</w:t>
      </w:r>
    </w:p>
    <w:p>
      <w:pPr>
        <w:pStyle w:val="BodyText"/>
      </w:pPr>
      <w:r>
        <w:t xml:space="preserve">To visualize this effect, we plotted the fitted probability of accepting as a function of planning-derived DV for different preferences values (see</w:t>
      </w:r>
      <w:r>
        <w:t xml:space="preserve"> </w:t>
      </w:r>
      <w:hyperlink w:anchor="fig-pref-planning-interaction">
        <w:r>
          <w:rPr>
            <w:rStyle w:val="Hyperlink"/>
          </w:rPr>
          <w:t xml:space="preserve">Figure 3</w:t>
        </w:r>
      </w:hyperlink>
      <w:r>
        <w:t xml:space="preserve"> </w:t>
      </w:r>
      <w:r>
        <w:t xml:space="preserve">A). This visualization shows the model-implied effect directly: the choice curve is steeper when preferences entropy is high (preference scores close to 0), indicating stronger reliance on planning, and flatter are preferences entropy increases (preference scores away from 0, deep blue and deep red lines in</w:t>
      </w:r>
      <w:r>
        <w:t xml:space="preserve"> </w:t>
      </w:r>
      <w:hyperlink w:anchor="fig-pref-planning-interaction">
        <w:r>
          <w:rPr>
            <w:rStyle w:val="Hyperlink"/>
          </w:rPr>
          <w:t xml:space="preserve">Figure 3</w:t>
        </w:r>
      </w:hyperlink>
      <w:r>
        <w:t xml:space="preserve"> </w:t>
      </w:r>
      <w:r>
        <w:t xml:space="preserve">A), indicating that choices are already largely determined by the preference signal.</w:t>
      </w:r>
      <w:r>
        <w:t xml:space="preserve"> </w:t>
      </w:r>
      <w:hyperlink w:anchor="fig-pref-planning-interaction">
        <w:r>
          <w:rPr>
            <w:rStyle w:val="Hyperlink"/>
          </w:rPr>
          <w:t xml:space="preserve">Figure 3</w:t>
        </w:r>
      </w:hyperlink>
      <w:r>
        <w:t xml:space="preserve"> </w:t>
      </w:r>
      <w:r>
        <w:t xml:space="preserve">B shows the observed probability of accepting the offer as a function of DV, separately when preferences were positive (upper panel) and negative (lower panel), further showing the effect of preferences on participants response choice: participants accept offer at lower DV when preference scores are positive compared to when preference scores are negative (</w:t>
      </w:r>
      <w:hyperlink w:anchor="suppfig-pref-planning-interaction">
        <w:r>
          <w:rPr>
            <w:rStyle w:val="Hyperlink"/>
          </w:rPr>
          <w:t xml:space="preserve">Figure S1</w:t>
        </w:r>
      </w:hyperlink>
      <w:r>
        <w:t xml:space="preserve"> </w:t>
      </w:r>
      <w:r>
        <w:t xml:space="preserve">shows participants responses and fitted values as a function of DV and preferences without binning).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2" w:name="fig-pref-planning-interaction"/>
          <w:p>
            <w:pPr>
              <w:pStyle w:val="Compact"/>
              <w:jc w:val="center"/>
            </w:pPr>
            <w:r>
              <w:drawing>
                <wp:inline>
                  <wp:extent cx="5334000" cy="6920523"/>
                  <wp:effectExtent b="0" l="0" r="0" t="0"/>
                  <wp:docPr descr="" title="" id="40" name="Picture"/>
                  <a:graphic>
                    <a:graphicData uri="http://schemas.openxmlformats.org/drawingml/2006/picture">
                      <pic:pic>
                        <pic:nvPicPr>
                          <pic:cNvPr descr="index_files/figure-docx/fig-pref-planning-interaction-output-1.png" id="41" name="Picture"/>
                          <pic:cNvPicPr>
                            <a:picLocks noChangeArrowheads="1" noChangeAspect="1"/>
                          </pic:cNvPicPr>
                        </pic:nvPicPr>
                        <pic:blipFill>
                          <a:blip r:embed="rId39"/>
                          <a:stretch>
                            <a:fillRect/>
                          </a:stretch>
                        </pic:blipFill>
                        <pic:spPr bwMode="auto">
                          <a:xfrm>
                            <a:off x="0" y="0"/>
                            <a:ext cx="5334000" cy="692052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preferences and DV. (A) Fitted probability of accepting an offer as a function of planning DV, separately for preference score of [-4, -2, -1, 0, 1, 2, 4], to highlight the interaction between preferences scores and DV. Line represents mean of posterior distribution, shaded area is 95% C.I. (B) Offer acceptance probability (y-axis) binned per decision values (x-axis), separately for trials in which preference score is positive (top row, red bars) (bottom row, blue bars).</w:t>
            </w:r>
          </w:p>
          <w:bookmarkEnd w:id="4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these model components were behaviourally meaningful beyond predicting individual choices. Specifically, we tested whether overall task performance was related to participants’ reliance on planning, the strength of their task-structured preferences, and the extent to which preference uncertainty modulated planning. As larger</w:t>
      </w:r>
      <w:r>
        <w:t xml:space="preserve"> </w:t>
      </w:r>
      <m:oMath>
        <m:sSub>
          <m:e>
            <m:r>
              <m:t>β</m:t>
            </m:r>
          </m:e>
          <m:sub>
            <m:r>
              <m:t>p</m:t>
            </m:r>
            <m:r>
              <m:t>l</m:t>
            </m:r>
            <m:r>
              <m:t>a</m:t>
            </m:r>
            <m:r>
              <m:t>n</m:t>
            </m:r>
            <m:r>
              <m:t>n</m:t>
            </m:r>
            <m:r>
              <m:t>i</m:t>
            </m:r>
            <m:r>
              <m:t>n</m:t>
            </m:r>
            <m:r>
              <m:t>g</m:t>
            </m:r>
          </m:sub>
        </m:sSub>
      </m:oMath>
      <w:r>
        <w:t xml:space="preserve"> </w:t>
      </w:r>
      <w:r>
        <w:t xml:space="preserve">values indicate stronger reliance on planning, we expected participants with larger</w:t>
      </w:r>
      <w:r>
        <w:t xml:space="preserve"> </w:t>
      </w:r>
      <m:oMath>
        <m:sSub>
          <m:e>
            <m:r>
              <m:t>β</m:t>
            </m:r>
          </m:e>
          <m:sub>
            <m:r>
              <m:t>p</m:t>
            </m:r>
            <m:r>
              <m:t>l</m:t>
            </m:r>
            <m:r>
              <m:t>a</m:t>
            </m:r>
            <m:r>
              <m:t>n</m:t>
            </m:r>
            <m:r>
              <m:t>n</m:t>
            </m:r>
            <m:r>
              <m:t>i</m:t>
            </m:r>
            <m:r>
              <m:t>n</m:t>
            </m:r>
            <m:r>
              <m:t>g</m:t>
            </m:r>
          </m:sub>
        </m:sSub>
      </m:oMath>
      <w:r>
        <w:t xml:space="preserve"> </w:t>
      </w:r>
      <w:r>
        <w:t xml:space="preserve">to obtain higher returns. In contrast to planning, preferences might not necessarily maximize reward, so participants with strong preferences (i.e. low preference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planning when their preferences are weak. Accordingly, we predicted that</w:t>
      </w:r>
      <w:r>
        <w:t xml:space="preserve"> </w:t>
      </w:r>
      <m:oMath>
        <m:sSub>
          <m:e>
            <m:r>
              <m:t>β</m:t>
            </m:r>
          </m:e>
          <m:sub>
            <m:r>
              <m:t>p</m:t>
            </m:r>
            <m:r>
              <m:t>l</m:t>
            </m:r>
            <m:r>
              <m:t>a</m:t>
            </m:r>
            <m:r>
              <m:t>n</m:t>
            </m:r>
            <m:r>
              <m:t>n</m:t>
            </m:r>
            <m:r>
              <m:t>i</m:t>
            </m:r>
            <m:r>
              <m:t>n</m:t>
            </m:r>
            <m:r>
              <m:t>g</m:t>
            </m:r>
          </m:sub>
        </m:sSub>
      </m:oMath>
      <w:r>
        <w:t xml:space="preserve">, preferences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our prediction, we observed a positive correlation between</w:t>
      </w:r>
      <w:r>
        <w:t xml:space="preserve"> </w:t>
      </w:r>
      <m:oMath>
        <m:sSub>
          <m:e>
            <m:r>
              <m:t>β</m:t>
            </m:r>
          </m:e>
          <m:sub>
            <m:r>
              <m:t>p</m:t>
            </m:r>
            <m:r>
              <m:t>l</m:t>
            </m:r>
            <m:r>
              <m:t>a</m:t>
            </m:r>
            <m:r>
              <m:t>n</m:t>
            </m:r>
            <m:r>
              <m:t>n</m:t>
            </m:r>
            <m:r>
              <m:t>i</m:t>
            </m:r>
            <m:r>
              <m:t>n</m:t>
            </m:r>
            <m:r>
              <m:t>g</m:t>
            </m:r>
          </m:sub>
        </m:sSub>
      </m:oMath>
      <w:r>
        <w:t xml:space="preserve"> </w:t>
      </w:r>
      <w:r>
        <w:t xml:space="preserve">and return (r=0.57, p=0.000,</w:t>
      </w:r>
      <w:r>
        <w:t xml:space="preserve"> </w:t>
      </w:r>
      <w:hyperlink w:anchor="fig-returns">
        <w:r>
          <w:rPr>
            <w:rStyle w:val="Hyperlink"/>
          </w:rPr>
          <w:t xml:space="preserve">Figure 4</w:t>
        </w:r>
      </w:hyperlink>
      <w:r>
        <w:t xml:space="preserve"> </w:t>
      </w:r>
      <w:r>
        <w:t xml:space="preserve">A), showing that participants who rely more on planning get larger return.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p=0.000,</w:t>
      </w:r>
      <w:r>
        <w:t xml:space="preserve"> </w:t>
      </w:r>
      <w:hyperlink w:anchor="fig-returns">
        <w:r>
          <w:rPr>
            <w:rStyle w:val="Hyperlink"/>
          </w:rPr>
          <w:t xml:space="preserve">Figure 4</w:t>
        </w:r>
      </w:hyperlink>
      <w:r>
        <w:t xml:space="preserve"> </w:t>
      </w:r>
      <w:r>
        <w:t xml:space="preserve">B). However, contrary to our prediction, we observed a negative correlation though only marginally significant correlation between preferences entropy and return (r=-0.28, p=0.082,</w:t>
      </w:r>
      <w:r>
        <w:t xml:space="preserve"> </w:t>
      </w:r>
      <w:hyperlink w:anchor="fig-returns">
        <w:r>
          <w:rPr>
            <w:rStyle w:val="Hyperlink"/>
          </w:rPr>
          <w:t xml:space="preserve">Figure 4</w:t>
        </w:r>
      </w:hyperlink>
      <w:r>
        <w:t xml:space="preserve"> </w:t>
      </w:r>
      <w:r>
        <w:t xml:space="preserve">C). Visual inspection of</w:t>
      </w:r>
      <w:r>
        <w:t xml:space="preserve"> </w:t>
      </w:r>
      <w:hyperlink w:anchor="fig-returns">
        <w:r>
          <w:rPr>
            <w:rStyle w:val="Hyperlink"/>
          </w:rPr>
          <w:t xml:space="preserve">Figure 4</w:t>
        </w:r>
      </w:hyperlink>
      <w:r>
        <w:t xml:space="preserve"> </w:t>
      </w:r>
      <w:r>
        <w:t xml:space="preserve">D revealed that the correlation appears to be driven from the subject with very low return (2.63 standard deviations from population mean). When removing this subject, the correlation between preferences entropy and return is not marginally significant (r=-0.08, p=0.648), while it remains strongly significant for planning (r=0.46, p=0.003) and modulation (r=0.60, p=0.000) when the same subject is removed.</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6" w:name="fig-returns"/>
          <w:p>
            <w:pPr>
              <w:pStyle w:val="Compact"/>
              <w:jc w:val="center"/>
            </w:pPr>
            <w:r>
              <w:drawing>
                <wp:inline>
                  <wp:extent cx="5334000" cy="2260169"/>
                  <wp:effectExtent b="0" l="0" r="0" t="0"/>
                  <wp:docPr descr="" title="" id="44" name="Picture"/>
                  <a:graphic>
                    <a:graphicData uri="http://schemas.openxmlformats.org/drawingml/2006/picture">
                      <pic:pic>
                        <pic:nvPicPr>
                          <pic:cNvPr descr="index_files/figure-docx/fig-returns-output-1.png" id="45" name="Picture"/>
                          <pic:cNvPicPr>
                            <a:picLocks noChangeArrowheads="1" noChangeAspect="1"/>
                          </pic:cNvPicPr>
                        </pic:nvPicPr>
                        <pic:blipFill>
                          <a:blip r:embed="rId43"/>
                          <a:stretch>
                            <a:fillRect/>
                          </a:stretch>
                        </pic:blipFill>
                        <pic:spPr bwMode="auto">
                          <a:xfrm>
                            <a:off x="0" y="0"/>
                            <a:ext cx="5334000" cy="226016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Fitted parameters and performances (A) Correlation between participants return and the fitted</w:t>
            </w:r>
            <w:r>
              <w:t xml:space="preserve"> </w:t>
            </w:r>
            <m:oMath>
              <m:sSub>
                <m:e>
                  <m:r>
                    <m:t>β</m:t>
                  </m:r>
                </m:e>
                <m:sub>
                  <m:r>
                    <m:t>p</m:t>
                  </m:r>
                  <m:r>
                    <m:t>l</m:t>
                  </m:r>
                  <m:r>
                    <m:t>a</m:t>
                  </m:r>
                  <m:r>
                    <m:t>n</m:t>
                  </m:r>
                  <m:r>
                    <m:t>n</m:t>
                  </m:r>
                  <m:r>
                    <m:t>i</m:t>
                  </m:r>
                  <m:r>
                    <m:t>n</m:t>
                  </m:r>
                  <m:r>
                    <m:t>g</m:t>
                  </m:r>
                </m:sub>
              </m:sSub>
            </m:oMath>
            <w:r>
              <w:t xml:space="preserve"> </w:t>
            </w:r>
            <w:r>
              <w:t xml:space="preserve">parameter. Each dot represent a single participant, the line is a correlation fitted using optimal least square, legend indicates pearson correlation alongside p value. (B) Correlation between participants performances and the average preference entropy. Same convention as (A). (C) Correlation between participants performances and</w:t>
            </w:r>
            <w:r>
              <w:t xml:space="preserve"> </w:t>
            </w:r>
            <m:oMath>
              <m:sSub>
                <m:e>
                  <m:r>
                    <m:t>β</m:t>
                  </m:r>
                </m:e>
                <m:sub>
                  <m:r>
                    <m:t>m</m:t>
                  </m:r>
                  <m:r>
                    <m:t>o</m:t>
                  </m:r>
                  <m:r>
                    <m:t>d</m:t>
                  </m:r>
                  <m:r>
                    <m:t>u</m:t>
                  </m:r>
                  <m:r>
                    <m:t>l</m:t>
                  </m:r>
                  <m:r>
                    <m:t>a</m:t>
                  </m:r>
                  <m:r>
                    <m:t>t</m:t>
                  </m:r>
                  <m:r>
                    <m:t>i</m:t>
                  </m:r>
                  <m:r>
                    <m:t>o</m:t>
                  </m:r>
                  <m:r>
                    <m:t>n</m:t>
                  </m:r>
                </m:sub>
              </m:sSub>
            </m:oMath>
            <w:r>
              <w:t xml:space="preserve">. Same convention as (A)</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bookmarkStart w:id="52" w:name="experimental-factors-relevance"/>
    <w:p>
      <w:pPr>
        <w:pStyle w:val="Heading3"/>
      </w:pPr>
      <w:r>
        <w:t xml:space="preserve">3.2 Experimental factors relevance</w:t>
      </w:r>
    </w:p>
    <w:p>
      <w:pPr>
        <w:pStyle w:val="FirstParagraph"/>
      </w:pPr>
      <w:r>
        <w:t xml:space="preserve">Our results indicate that participants’ choices are shaped by two sources of information: planning-derived values and task-structured preferences. These preferences are not a single global bias. Instead, participants appear to assign preferences to different features of the task, such as the offer, the current cost context, and upcoming transitions, and combine these feature-specific preferences into an overall preference for each action in a given state.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preferences compared to costs (both current and future). The fitted preference weights already suggested that participants’ preferences were structured primarily by offer value and energy. We next asked whether the same pattern was evident from a complementary model-comparison perspective. To do so, we compared the full preference model with reduced models in which the preference terms for one task factor were removed at a time. This effectively tests how decision making changes when participants are assumed to ignore one specific sources of task information, such as offer value, action costs, or future transitions.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task-features">
        <w:r>
          <w:rPr>
            <w:rStyle w:val="Hyperlink"/>
          </w:rPr>
          <w:t xml:space="preserve">Figure 5</w:t>
        </w:r>
      </w:hyperlink>
      <w:r>
        <w:t xml:space="preserve"> </w:t>
      </w:r>
      <w:r>
        <w:t xml:space="preserve">A displays the difference in fit between the full preference model against models in which the preferences related to each experimental factor were removed one by one. Larger values indicate that the specific factor is more relevant for the full model’s fit. These results indicate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=137.35</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=133.96</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=47.00</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=27.34</w:t>
      </w:r>
      <w:r>
        <w:t xml:space="preserve"> </w:t>
      </w:r>
      <m:oMath>
        <m:r>
          <m:rPr>
            <m:sty m:val="p"/>
          </m:rPr>
          <m:t>±</m:t>
        </m:r>
      </m:oMath>
      <w:r>
        <w:t xml:space="preserve"> </w:t>
      </w:r>
      <w:r>
        <w:t xml:space="preserve">48.62 s.e.).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1" w:name="fig-task-features"/>
          <w:p>
            <w:pPr>
              <w:pStyle w:val="Compact"/>
              <w:jc w:val="center"/>
            </w:pPr>
            <w:r>
              <w:drawing>
                <wp:inline>
                  <wp:extent cx="5334000" cy="4447239"/>
                  <wp:effectExtent b="0" l="0" r="0" t="0"/>
                  <wp:docPr descr="" title="" id="49" name="Picture"/>
                  <a:graphic>
                    <a:graphicData uri="http://schemas.openxmlformats.org/drawingml/2006/picture">
                      <pic:pic>
                        <pic:nvPicPr>
                          <pic:cNvPr descr="index_files/figure-docx/fig-task-features-output-1.png" id="50" name="Picture"/>
                          <pic:cNvPicPr>
                            <a:picLocks noChangeArrowheads="1" noChangeAspect="1"/>
                          </pic:cNvPicPr>
                        </pic:nvPicPr>
                        <pic:blipFill>
                          <a:blip r:embed="rId48"/>
                          <a:stretch>
                            <a:fillRect/>
                          </a:stretch>
                        </pic:blipFill>
                        <pic:spPr bwMode="auto">
                          <a:xfrm>
                            <a:off x="0" y="0"/>
                            <a:ext cx="5334000" cy="44472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Importance of each parameters in participants response and optimal solution. (A)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 (B) Loss in return when planning when ignoring each task factor (0 indicates no loss compared to optimal policy). This figure represents the reward sensitivity of each task factor: the larger the return loss, the more actions are dependent on the levels of the factor for return maximization. For example, the large loss associated with energy reflects the fact that when all energy levels are treated the same leads to accepting offers when energy is low, leading to low energy, preventing accepting future returns. (C) Loss in return of policies derived from the preference component of the full and reduced preference models omitting each task factors. For each model (full and reduced), we derive a policy from the preference component alone and calculated the expected return under such a policy, relative to the optimal policy. The y-axis represents the loss in relative return, 0 indicates that a preference policy performs exactly as well as the optimal policy. The grey line represents the return associated with a fully stochastic policy (i.e. equal probability of each action in each state). (D) Comparison between preference (in probability space) parameters and the marginal action probability of each task level.</w:t>
            </w:r>
          </w:p>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 fitted preferences could serve as adaptive biases when planning is absent. As a first step, we quantified how strongly optimal return depends on each task factor. To do so, we derived policies from reduced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planning is highly sensitive to energy. This large loss reflects the structure of the task. A policy that ignores energy cannot adapt choices to the current energy budget. As a result, it can deplete energy in low-energy states as its behaviour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for by the planning component, so removing energy-related preference terms has a smaller effect on model fit than its importance for optimal return would suggest.</w:t>
      </w:r>
    </w:p>
    <w:p>
      <w:pPr>
        <w:pStyle w:val="BodyText"/>
      </w:pPr>
      <w:r>
        <w:t xml:space="preserve">Further, we asked whether the fitted preferences could support adaptive choice when planning is absent. If preferences capture useful task structure, policies derived from the preference component alone should be suboptimal, but should still produce lower return loss than a stochastic policy. In addition, removing task factors that strongly shape participants’ preferences should reduce the return of these preference policies. To quantify this, we computed the expected return loss of policies derived from the preference component alone. The full preference policy produced, as expected, a non-zero return loss of 28.53%, indicating that preferences did not fully replace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(grey line), showing that the fitted preferences captured task structure that was useful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w:t>
      </w:r>
    </w:p>
    <w:p>
      <w:pPr>
        <w:pStyle w:val="BodyText"/>
      </w:pPr>
      <w:r>
        <w:t xml:space="preserve">Together, these results suggest that participants’ preferences were not arbitrary biases, but adaptive approximations to optimal choice. They supported relatively good performance in the absence of planning, while remaining insufficient to fully replace planning-derived decision values.</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(of how often should an offer of 1 be accepted, across all energy and costs levels for example).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preferences parameters side-by-side with the marginal action probability, showing that participants’ preferences relatively closely reflect the feature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tendency to accept offers more often than they should). Nonetheless, the overall similarities between both variables suggest that this is a plausible explanation of participants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2"/>
    <w:bookmarkStart w:id="57" w:name="reaction-times"/>
    <w:p>
      <w:pPr>
        <w:pStyle w:val="Heading3"/>
      </w:pPr>
      <w:r>
        <w:t xml:space="preserve">3.3 Reaction times</w:t>
      </w:r>
    </w:p>
    <w:p>
      <w:pPr>
        <w:pStyle w:val="FirstParagraph"/>
      </w:pPr>
      <w:r>
        <w:t xml:space="preserve">Under the proposed hypothesis, participants’ reliance on planning should depend on the strength of their preferences. Strong preferences should reduce the need for planning and therefore lead to faster responses, whereas weak or uncertain preferences should increase reliance on planning and lead to slower responses. Previous studies have shown that RT is positively correlated with planning conflict, indicating that less planning is required when the value associated with each action is more clearly distinct</w:t>
      </w:r>
      <w:r>
        <w:t xml:space="preserve"> </w:t>
      </w:r>
      <w:r>
        <w:t xml:space="preserve">(Ott et al. 2022a)</w:t>
      </w:r>
      <w:r>
        <w:t xml:space="preserve">. We therefore expected preference strength to attenuate the effect of planning conflict on RT: when participants’ preferences provide a clear action tendency, conflict between planning-derived action values should have a weaker influence on response times.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 CI=[0.09, 0.13]), (ii) entropy of preferences (</w:t>
      </w:r>
      <m:oMath>
        <m:sSub>
          <m:e>
            <m:r>
              <m:t>β</m:t>
            </m:r>
          </m:e>
          <m:sub>
            <m:r>
              <m:t>p</m:t>
            </m:r>
            <m:r>
              <m:t>r</m:t>
            </m:r>
            <m:r>
              <m:t>e</m:t>
            </m:r>
            <m:r>
              <m:t>f</m:t>
            </m:r>
          </m:sub>
        </m:sSub>
      </m:oMath>
      <w:r>
        <w:t xml:space="preserve">=0.44, CI=[0.41, 0.49]) and (iii) the interaction between the two (</w:t>
      </w:r>
      <m:oMath>
        <m:sSub>
          <m:e>
            <m:r>
              <m:t>β</m:t>
            </m:r>
          </m:e>
          <m:sub>
            <m:r>
              <m:t>m</m:t>
            </m:r>
            <m:r>
              <m:t>o</m:t>
            </m:r>
            <m:r>
              <m:t>d</m:t>
            </m:r>
            <m:r>
              <m:t>u</m:t>
            </m:r>
            <m:r>
              <m:t>l</m:t>
            </m:r>
            <m:r>
              <m:t>a</m:t>
            </m:r>
            <m:r>
              <m:t>t</m:t>
            </m:r>
            <m:r>
              <m:t>i</m:t>
            </m:r>
            <m:r>
              <m:t>o</m:t>
            </m:r>
            <m:r>
              <m:t>n</m:t>
            </m:r>
          </m:sub>
        </m:sSub>
      </m:oMath>
      <w:r>
        <w:t xml:space="preserve">=0.11, CI=[0.41, 0.49],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interaction between strength of preferences and conflict. The positive interaction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In other words, when preferences are strong and prescribe a clear action tendency, participants do not engage much effort in planning, even if conflict between decision values is high. Participants rely most on planning when preferences are weak. The highest RTs are observed when preferences are weak (green line) and conflict is high.</w:t>
      </w:r>
    </w:p>
    <w:p>
      <w:pPr>
        <w:pStyle w:val="BodyText"/>
      </w:pPr>
      <w:r>
        <w:t xml:space="preserve">Together, these results converge with the choice model and show that participants relied more strongly on planning-derived values when their task-structured preferences were weak, and this increased reliance was reflected in slower responses under planning conflict. Conversely, strong preferences were associated with weaker effects of planning conflict and faster choices.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6" w:name="fig-rt"/>
          <w:p>
            <w:pPr>
              <w:pStyle w:val="Compact"/>
              <w:jc w:val="center"/>
            </w:pPr>
            <w:r>
              <w:drawing>
                <wp:inline>
                  <wp:extent cx="5334000" cy="3076773"/>
                  <wp:effectExtent b="0" l="0" r="0" t="0"/>
                  <wp:docPr descr="" title="" id="54" name="Picture"/>
                  <a:graphic>
                    <a:graphicData uri="http://schemas.openxmlformats.org/drawingml/2006/picture">
                      <pic:pic>
                        <pic:nvPicPr>
                          <pic:cNvPr descr="index_files/figure-docx/fig-rt-output-2.png" id="55" name="Picture"/>
                          <pic:cNvPicPr>
                            <a:picLocks noChangeArrowheads="1" noChangeAspect="1"/>
                          </pic:cNvPicPr>
                        </pic:nvPicPr>
                        <pic:blipFill>
                          <a:blip r:embed="rId53"/>
                          <a:stretch>
                            <a:fillRect/>
                          </a:stretch>
                        </pic:blipFill>
                        <pic:spPr bwMode="auto">
                          <a:xfrm>
                            <a:off x="0" y="0"/>
                            <a:ext cx="5334000" cy="3076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bookmarkEnd w:id="58"/>
    <w:bookmarkStart w:id="59" w:name="discussion"/>
    <w:p>
      <w:pPr>
        <w:pStyle w:val="Heading2"/>
      </w:pPr>
      <w:r>
        <w:t xml:space="preserve">4 Discussion</w:t>
      </w:r>
    </w:p>
    <w:p>
      <w:pPr>
        <w:pStyle w:val="FirstParagraph"/>
      </w:pPr>
      <w:r>
        <w:t xml:space="preserve">We tested the hypothesis that deviations from optimal forward planning in complex sequential decision making reflect structured preference-based guidance rather than unsystematic errors or simple history- and context-dependent biases. Across choice models, participants’ decisions were best explained by a model that combined planning-derived decision values with task-structured preferences over offers, energy, and costs. Critically, the influence of planning depended on the strength of these preferences: planning-derived values shaped choices more strongly when preferences were uncertain. Similarly, response-time analyses showed stronger effects of planning conflict when preferences were uncertain. Additional policy analyses indicated that these preferences were adaptive in the sense that they preserved reward-relevant task structure and supported above-stochastic returns even without planning. Policies relying solely on preferences achieved substantially higher returns than stochastic choice, although they remained below the optimal policy based on planning. Feature-wise analyses showed that these preferences captured reward-relevant structures of the task. Together, these results suggest that participants used task-structured preferences as efficient approximations to optimal choice, while relying more strongly on forward planning when these preferences did not provide a clear action tendency.</w:t>
      </w:r>
    </w:p>
    <w:p>
      <w:pPr>
        <w:pStyle w:val="BodyText"/>
      </w:pPr>
      <w:r>
        <w:t xml:space="preserve">A methodological contribution of the present study is that we combined a planning-derived decision-value term with a factorized preference component defined over the task features. Computational models of sequential decision 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experimental structure of the task. Conversely, factorial analyses of experimental data can quantify how different task factors influence behaviour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not as residual noise around planning, but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(Knill and Pouget 2004; Lee and Mumford 2003; Rao and Ballard 1999; Clark 2013; Friston 2010)</w:t>
      </w:r>
      <w:r>
        <w:t xml:space="preserve">. An intuitive interpretation of our results is that task-structured preferences play the role of action priors, whereas planning-derived values provide the likelihood-like, state-specific evidence about which action will lead to better future outcomes, and the strength of the priors determines the extent of forward planning. This interpretation is particularly evident in how preferences guide behavior in different states. In states where the relevant features jointly imply a clear action tendency (e.g. high offer, low cost and high energy), preferences alone may be sufficient to support efficient decision making, requiring minimal forward planning. In other states, different features support opposing actions. For instance, a moderate offer may favour rejection, whereas low cost and high energy may favour acceptance, resulting in a weaker and more uncertain preference signal. In such cases, forward planning can help resolve the remaining ambiguity by evaluating the future consequences of the available actions.</w:t>
      </w:r>
    </w:p>
    <w:p>
      <w:pPr>
        <w:pStyle w:val="BodyText"/>
      </w:pPr>
      <w:r>
        <w:t xml:space="preserve">The factorized preference component of our model constitutes an extension of existing Bayesian accounts of decision making</w:t>
      </w:r>
      <w:r>
        <w:t xml:space="preserve"> </w:t>
      </w:r>
      <w:r>
        <w:t xml:space="preserve">(Huys et al. 2012; Kuperwajs and Ma 2021; Schwöbel et al. 2021)</w:t>
      </w:r>
      <w:r>
        <w:t xml:space="preserve">, most explicitely to the policy compression framework which assumes that choice reflects the bayesian integration of planning derived value with state-independent action priors, reflecting the marginal action probability of the current policy</w:t>
      </w:r>
      <w:r>
        <w:t xml:space="preserve"> </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task sequential decision making tasks, where states can require different actions and where action–state combinations have downstream implications. Our results suggest that in such tasks, participants rely on state-dependent preferences. Our factorized preferences strike a balance between fully state-specific priors, which would be overly costly in terms of memory and completely state independent action priors, which would be too coarse grained to be useful in complex tasks. Existing Bayesian models of decision making should be extended to enable priors structure reflecting the relevant dimensions of the task at hands.</w:t>
      </w:r>
    </w:p>
    <w:p>
      <w:pPr>
        <w:pStyle w:val="BodyText"/>
      </w:pPr>
      <w:r>
        <w:t xml:space="preserve">This framing also extends on the work of</w:t>
      </w:r>
      <w:r>
        <w:t xml:space="preserve"> </w:t>
      </w:r>
      <w:r>
        <w:t xml:space="preserve">Ott et al. (2022a)</w:t>
      </w:r>
      <w:r>
        <w:t xml:space="preserve">, who found that participants exert more cognitive control for intermediate (2 and 3) compared to extreme (1 and 4) offers. They interpreted this finding as evidence that participants split the state space into coarse contexts and allocate context-dependent control. Our results offer a more nuanced interpretation: intermediate offers correspond to preferences with higher entropy (see</w:t>
      </w:r>
      <w:r>
        <w:t xml:space="preserve"> </w:t>
      </w:r>
      <w:hyperlink w:anchor="fig-choicemdl">
        <w:r>
          <w:rPr>
            <w:rStyle w:val="Hyperlink"/>
          </w:rPr>
          <w:t xml:space="preserve">Figure 2</w:t>
        </w:r>
      </w:hyperlink>
      <w:r>
        <w:t xml:space="preserve">), prompting greater planning effort to resolve uncertainty. Rather than splitting the state space into coarse context</w:t>
      </w:r>
      <w:r>
        <w:t xml:space="preserve"> </w:t>
      </w:r>
      <w:r>
        <w:t xml:space="preserve">(Ott et al. 2022a)</w:t>
      </w:r>
      <w:r>
        <w:t xml:space="preserve">, participants allocate planning efforts dynamically based on the strength of their structured priors. Under this view, cognitive control is invertly proportional to priors certainty and reflects how much they engage in forward planning to resolve choice uncertainty.</w:t>
      </w:r>
    </w:p>
    <w:p>
      <w:pPr>
        <w:pStyle w:val="BodyText"/>
      </w:pPr>
      <w:r>
        <w:t xml:space="preserve">Our results contribute to the debate about whether deviations from optimality reflects systematic errors or adaptive heuristics. Across psychology and perceptual decision 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others argue that biases reflect adaptive heuristics that serve as computation-less shortcuts enabling satisficing solutions in complex tasks</w:t>
      </w:r>
      <w:r>
        <w:t xml:space="preserve"> </w:t>
      </w:r>
      <w:r>
        <w:t xml:space="preserve">(</w:t>
      </w:r>
      <w:r>
        <w:t xml:space="preserve">Gigerenzer et al.</w:t>
      </w:r>
      <w:r>
        <w:t xml:space="preserve"> </w:t>
      </w:r>
      <w:r>
        <w:t xml:space="preserve">2000; Tsetsos et al. 2016; Gigerenzer and Brighton 2009)</w:t>
      </w:r>
      <w:r>
        <w:t xml:space="preserve">. In line with the adaptive heuristic interpretation, we find that preferences are not arbitrary residuals around an optimal planning process. Instead, they represent structured action tendencies derived from task features, supporting above-stochastic performance in the absence of planning. However, participants do not rely on preferences alone. Rather, biases from optimal decision making reflect action priors which are an inexpensive and quickly available first-pass yielding satisficing returns, which are complemented by planning when priors are uncertain and planning-derived action values are in conflict. This implies that there is no strict separation between a fast heuristic system and a slow planning system and that instead, both work in concert in the context of sequential decision making.</w:t>
      </w:r>
    </w:p>
    <w:p>
      <w:pPr>
        <w:pStyle w:val="BodyText"/>
      </w:pPr>
      <w:r>
        <w:t xml:space="preserve">Importantly, while our model suggest that task-structured preferences can function like prior action tendencies, the model is purely descriptive and does not establish that the fitted preferences are priors in a formal Bayesian sense. In addition, our model assumes that the preferences have been established prior to the start of the task and does not specify the learning dynamics or updating of these preferences. The similarity between preferences and factor levels-dependent marginal action probability (see</w:t>
      </w:r>
      <w:r>
        <w:t xml:space="preserve"> </w:t>
      </w:r>
      <w:hyperlink w:anchor="fig-task-features">
        <w:r>
          <w:rPr>
            <w:rStyle w:val="Hyperlink"/>
          </w:rPr>
          <w:t xml:space="preserve">Figure 5</w:t>
        </w:r>
      </w:hyperlink>
      <w:r>
        <w:t xml:space="preserve"> </w:t>
      </w:r>
      <w:r>
        <w:t xml:space="preserve">D) suggest that preferences might arise by keeping track of action performed in each level of each factor under an approximately optimal policy, in the training session for example. Furthermore general schemas from encounter with similar problem in the environment (budgetting decision in everyday life), or explicit instructions highlighting relevant features might also play a role in learning of preferences. A key question for future research is to establish whether the preferences truly constitute action priors, as well as determining how agents determine which features are relevant for constructing structured priors, especially in real-world settings where task structure is not explicit.</w:t>
      </w:r>
    </w:p>
    <w:p>
      <w:pPr>
        <w:pStyle w:val="BodyText"/>
      </w:pPr>
      <w:r>
        <w:t xml:space="preserve">In addition, while our model uses backward induction to derive state-action values, this does not imply that the brain implements forward planning in this way. Biologically plausible planning likely relies on approximate algorithm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planning. The observed interaction between RT, preferences strength and decision conflict suggests that whichever algorithm implements action value estimation in the brain, the extent of planning-related computation can be adaptively adjusted to obtain more or less precise estimates depending on preferences strength. Developing RL or active inference agents equipped with such structured priors, and testing their predictions against human data will be crucial for understanding the emergence and utility of efficient, adaptive decision strategies in complex environments.</w:t>
      </w:r>
    </w:p>
    <w:p>
      <w:pPr>
        <w:pStyle w:val="BodyText"/>
      </w:pPr>
      <w:r>
        <w:t xml:space="preserve">The presented account makes several testable predictions about when preference-based guidance should dominate. Reliance on preferences should increase when task features provide a clear action tendency, when planning time is limited, or when the marginal value of additional computation is low. Conversely, reliance on planning should increase when task features provide conflicting action tendencies, when future consequences are difficult to infer from local features alone, or when the cost of an error is high. Future experiments could test these predictions by manipulating time pressure, training, instructions, and task familiarity, planning horizon, task volatility, or the reliability of feature-based cues to disentangle these sources and examine how structured priors are formed, adapted and integrated with forward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9"/>
    <w:bookmarkStart w:id="60" w:name="acknowledgements"/>
    <w:p>
      <w:pPr>
        <w:pStyle w:val="Heading2"/>
      </w:pPr>
      <w:r>
        <w:t xml:space="preserve">5 Acknowledgements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Start w:id="61" w:name="data-and-code-statement"/>
    <w:p>
      <w:pPr>
        <w:pStyle w:val="Heading2"/>
      </w:pPr>
      <w:r>
        <w:t xml:space="preserve">6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62" w:name="references"/>
    <w:p>
      <w:pPr>
        <w:pStyle w:val="Heading2"/>
      </w:pPr>
      <w:r>
        <w:t xml:space="preserve">7 References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Start w:id="131" w:name="supplementary-material"/>
    <w:p>
      <w:pPr>
        <w:pStyle w:val="Heading2"/>
      </w:pPr>
      <w:r>
        <w:t xml:space="preserve">8 Supplementary material</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7" w:name="supplementary-figures"/>
    <w:p>
      <w:pPr>
        <w:pStyle w:val="Heading3"/>
      </w:pPr>
      <w:r>
        <w:t xml:space="preserve">8.1 Supplementary figures:</w:t>
      </w:r>
    </w:p>
    <w:tbl>
      <w:tblPr>
        <w:tblStyle w:val="Table"/>
        <w:tblW w:type="pct" w:w="5000"/>
        <w:tblLayout w:type="fixed"/>
        <w:tblLook w:firstRow="0" w:lastRow="0" w:firstColumn="0" w:lastColumn="0" w:noHBand="0" w:noVBand="0" w:val="0000"/>
      </w:tblPr>
      <w:tblGrid>
        <w:gridCol w:w="7920"/>
      </w:tblGrid>
      <w:tr>
        <w:tc>
          <w:tcPr/>
          <w:bookmarkStart w:id="66" w:name="suppfig-pref-planning-interaction"/>
          <w:p>
            <w:pPr>
              <w:pStyle w:val="Compact"/>
              <w:jc w:val="center"/>
            </w:pPr>
            <w:r>
              <w:drawing>
                <wp:inline>
                  <wp:extent cx="5334000" cy="7500679"/>
                  <wp:effectExtent b="0" l="0" r="0" t="0"/>
                  <wp:docPr descr="" title="" id="64" name="Picture"/>
                  <a:graphic>
                    <a:graphicData uri="http://schemas.openxmlformats.org/drawingml/2006/picture">
                      <pic:pic>
                        <pic:nvPicPr>
                          <pic:cNvPr descr="index_files/figure-docx/S1-supplementary_figures_tables-suppfig-pref-planning-interaction-output-1.png" id="65" name="Picture"/>
                          <pic:cNvPicPr>
                            <a:picLocks noChangeArrowheads="1" noChangeAspect="1"/>
                          </pic:cNvPicPr>
                        </pic:nvPicPr>
                        <pic:blipFill>
                          <a:blip r:embed="rId63"/>
                          <a:stretch>
                            <a:fillRect/>
                          </a:stretch>
                        </pic:blipFill>
                        <pic:spPr bwMode="auto">
                          <a:xfrm>
                            <a:off x="0" y="0"/>
                            <a:ext cx="5334000" cy="75006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6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7"/>
    <w:bookmarkStart w:id="70" w:name="supplementary-tables"/>
    <w:p>
      <w:pPr>
        <w:pStyle w:val="Heading3"/>
      </w:pPr>
      <w:r>
        <w:t xml:space="preserve">8.2 Supplementary tables:</w:t>
      </w:r>
    </w:p>
    <w:tbl>
      <w:tblPr>
        <w:tblStyle w:val="Table"/>
        <w:tblW w:type="pct" w:w="5000"/>
        <w:tblLayout w:type="fixed"/>
        <w:tblLook w:firstRow="0" w:lastRow="0" w:firstColumn="0" w:lastColumn="0" w:noHBand="0" w:noVBand="0" w:val="0000"/>
      </w:tblPr>
      <w:tblGrid>
        <w:gridCol w:w="7920"/>
      </w:tblGrid>
      <w:tr>
        <w:tc>
          <w:tcPr/>
          <w:bookmarkStart w:id="68"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-1492.49</w:t>
                  </w:r>
                </w:p>
              </w:tc>
              <w:tc>
                <w:tcPr/>
                <w:p>
                  <w:pPr>
                    <w:pStyle w:val="Compact"/>
                    <w:jc w:val="right"/>
                    <w:jc w:val="center"/>
                  </w:pPr>
                  <w:r>
                    <w:t xml:space="preserve">256.526</w:t>
                  </w:r>
                </w:p>
              </w:tc>
              <w:tc>
                <w:tcPr/>
                <w:p>
                  <w:pPr>
                    <w:pStyle w:val="Compact"/>
                    <w:jc w:val="right"/>
                    <w:jc w:val="center"/>
                  </w:pPr>
                  <w:r>
                    <w:t xml:space="preserve">0</w:t>
                  </w:r>
                </w:p>
              </w:tc>
              <w:tc>
                <w:tcPr/>
                <w:p>
                  <w:pPr>
                    <w:pStyle w:val="Compact"/>
                    <w:jc w:val="right"/>
                    <w:jc w:val="center"/>
                  </w:pPr>
                  <w:r>
                    <w:t xml:space="preserve">48.7651</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-1656.69</w:t>
                  </w:r>
                </w:p>
              </w:tc>
              <w:tc>
                <w:tcPr/>
                <w:p>
                  <w:pPr>
                    <w:pStyle w:val="Compact"/>
                    <w:jc w:val="right"/>
                    <w:jc w:val="center"/>
                  </w:pPr>
                  <w:r>
                    <w:t xml:space="preserve">159.175</w:t>
                  </w:r>
                </w:p>
              </w:tc>
              <w:tc>
                <w:tcPr/>
                <w:p>
                  <w:pPr>
                    <w:pStyle w:val="Compact"/>
                    <w:jc w:val="right"/>
                    <w:jc w:val="center"/>
                  </w:pPr>
                  <w:r>
                    <w:t xml:space="preserve">164.209</w:t>
                  </w:r>
                </w:p>
              </w:tc>
              <w:tc>
                <w:tcPr/>
                <w:p>
                  <w:pPr>
                    <w:pStyle w:val="Compact"/>
                    <w:jc w:val="right"/>
                    <w:jc w:val="center"/>
                  </w:pPr>
                  <w:r>
                    <w:t xml:space="preserve">52.4615</w:t>
                  </w:r>
                </w:p>
              </w:tc>
              <w:tc>
                <w:tcPr/>
                <w:p>
                  <w:pPr>
                    <w:pStyle w:val="Compact"/>
                    <w:jc w:val="right"/>
                    <w:jc w:val="center"/>
                  </w:pPr>
                  <w:r>
                    <w:t xml:space="preserve">19.671</w:t>
                  </w:r>
                </w:p>
              </w:tc>
            </w:tr>
            <w:tr>
              <w:tc>
                <w:tcPr/>
                <w:p>
                  <w:pPr>
                    <w:pStyle w:val="Compact"/>
                    <w:jc w:val="left"/>
                    <w:jc w:val="center"/>
                  </w:pPr>
                  <w:r>
                    <w:t xml:space="preserve">Frequency prior</w:t>
                  </w:r>
                </w:p>
              </w:tc>
              <w:tc>
                <w:tcPr/>
                <w:p>
                  <w:pPr>
                    <w:pStyle w:val="Compact"/>
                    <w:jc w:val="right"/>
                    <w:jc w:val="center"/>
                  </w:pPr>
                  <w:r>
                    <w:t xml:space="preserve">-2073.38</w:t>
                  </w:r>
                </w:p>
              </w:tc>
              <w:tc>
                <w:tcPr/>
                <w:p>
                  <w:pPr>
                    <w:pStyle w:val="Compact"/>
                    <w:jc w:val="right"/>
                    <w:jc w:val="center"/>
                  </w:pPr>
                  <w:r>
                    <w:t xml:space="preserve">77.0896</w:t>
                  </w:r>
                </w:p>
              </w:tc>
              <w:tc>
                <w:tcPr/>
                <w:p>
                  <w:pPr>
                    <w:pStyle w:val="Compact"/>
                    <w:jc w:val="right"/>
                    <w:jc w:val="center"/>
                  </w:pPr>
                  <w:r>
                    <w:t xml:space="preserve">580.889</w:t>
                  </w:r>
                </w:p>
              </w:tc>
              <w:tc>
                <w:tcPr/>
                <w:p>
                  <w:pPr>
                    <w:pStyle w:val="Compact"/>
                    <w:jc w:val="right"/>
                    <w:jc w:val="center"/>
                  </w:pPr>
                  <w:r>
                    <w:t xml:space="preserve">55.5712</w:t>
                  </w:r>
                </w:p>
              </w:tc>
              <w:tc>
                <w:tcPr/>
                <w:p>
                  <w:pPr>
                    <w:pStyle w:val="Compact"/>
                    <w:jc w:val="right"/>
                    <w:jc w:val="center"/>
                  </w:pPr>
                  <w:r>
                    <w:t xml:space="preserve">35.9363</w:t>
                  </w:r>
                </w:p>
              </w:tc>
            </w:tr>
            <w:tr>
              <w:tc>
                <w:tcPr/>
                <w:p>
                  <w:pPr>
                    <w:pStyle w:val="Compact"/>
                    <w:jc w:val="left"/>
                    <w:jc w:val="center"/>
                  </w:pPr>
                  <w:r>
                    <w:t xml:space="preserve">Planning</w:t>
                  </w:r>
                </w:p>
              </w:tc>
              <w:tc>
                <w:tcPr/>
                <w:p>
                  <w:pPr>
                    <w:pStyle w:val="Compact"/>
                    <w:jc w:val="right"/>
                    <w:jc w:val="center"/>
                  </w:pPr>
                  <w:r>
                    <w:t xml:space="preserve">-2078.46</w:t>
                  </w:r>
                </w:p>
              </w:tc>
              <w:tc>
                <w:tcPr/>
                <w:p>
                  <w:pPr>
                    <w:pStyle w:val="Compact"/>
                    <w:jc w:val="right"/>
                    <w:jc w:val="center"/>
                  </w:pPr>
                  <w:r>
                    <w:t xml:space="preserve">68.3847</w:t>
                  </w:r>
                </w:p>
              </w:tc>
              <w:tc>
                <w:tcPr/>
                <w:p>
                  <w:pPr>
                    <w:pStyle w:val="Compact"/>
                    <w:jc w:val="right"/>
                    <w:jc w:val="center"/>
                  </w:pPr>
                  <w:r>
                    <w:t xml:space="preserve">585.976</w:t>
                  </w:r>
                </w:p>
              </w:tc>
              <w:tc>
                <w:tcPr/>
                <w:p>
                  <w:pPr>
                    <w:pStyle w:val="Compact"/>
                    <w:jc w:val="right"/>
                    <w:jc w:val="center"/>
                  </w:pPr>
                  <w:r>
                    <w:t xml:space="preserve">55.58</w:t>
                  </w:r>
                </w:p>
              </w:tc>
              <w:tc>
                <w:tcPr/>
                <w:p>
                  <w:pPr>
                    <w:pStyle w:val="Compact"/>
                    <w:jc w:val="right"/>
                    <w:jc w:val="center"/>
                  </w:pPr>
                  <w:r>
                    <w:t xml:space="preserve">36.1456</w:t>
                  </w:r>
                </w:p>
              </w:tc>
            </w:tr>
          </w:tbl>
          <w:bookmarkEnd w:id="6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69"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assopciated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p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2.072</w:t>
                  </w:r>
                </w:p>
              </w:tc>
              <w:tc>
                <w:tcPr/>
                <w:p>
                  <w:pPr>
                    <w:pStyle w:val="Compact"/>
                    <w:jc w:val="right"/>
                    <w:jc w:val="center"/>
                  </w:pPr>
                  <w:r>
                    <w:t xml:space="preserve">0.242</w:t>
                  </w:r>
                </w:p>
              </w:tc>
              <w:tc>
                <w:tcPr/>
                <w:p>
                  <w:pPr>
                    <w:pStyle w:val="Compact"/>
                    <w:jc w:val="right"/>
                    <w:jc w:val="center"/>
                  </w:pPr>
                  <w:r>
                    <w:t xml:space="preserve">1.614</w:t>
                  </w:r>
                </w:p>
              </w:tc>
              <w:tc>
                <w:tcPr/>
                <w:p>
                  <w:pPr>
                    <w:pStyle w:val="Compact"/>
                    <w:jc w:val="right"/>
                    <w:jc w:val="center"/>
                  </w:pPr>
                  <w:r>
                    <w:t xml:space="preserve">2.573</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-2.374</w:t>
                  </w:r>
                </w:p>
              </w:tc>
              <w:tc>
                <w:tcPr/>
                <w:p>
                  <w:pPr>
                    <w:pStyle w:val="Compact"/>
                    <w:jc w:val="right"/>
                    <w:jc w:val="center"/>
                  </w:pPr>
                  <w:r>
                    <w:t xml:space="preserve">0.971</w:t>
                  </w:r>
                </w:p>
              </w:tc>
              <w:tc>
                <w:tcPr/>
                <w:p>
                  <w:pPr>
                    <w:pStyle w:val="Compact"/>
                    <w:jc w:val="right"/>
                    <w:jc w:val="center"/>
                  </w:pPr>
                  <w:r>
                    <w:t xml:space="preserve">-4.232</w:t>
                  </w:r>
                </w:p>
              </w:tc>
              <w:tc>
                <w:tcPr/>
                <w:p>
                  <w:pPr>
                    <w:pStyle w:val="Compact"/>
                    <w:jc w:val="right"/>
                    <w:jc w:val="center"/>
                  </w:pPr>
                  <w:r>
                    <w:t xml:space="preserve">-0.426</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-1.625</w:t>
                  </w:r>
                </w:p>
              </w:tc>
              <w:tc>
                <w:tcPr/>
                <w:p>
                  <w:pPr>
                    <w:pStyle w:val="Compact"/>
                    <w:jc w:val="right"/>
                    <w:jc w:val="center"/>
                  </w:pPr>
                  <w:r>
                    <w:t xml:space="preserve">0.938</w:t>
                  </w:r>
                </w:p>
              </w:tc>
              <w:tc>
                <w:tcPr/>
                <w:p>
                  <w:pPr>
                    <w:pStyle w:val="Compact"/>
                    <w:jc w:val="right"/>
                    <w:jc w:val="center"/>
                  </w:pPr>
                  <w:r>
                    <w:t xml:space="preserve">-3.535</w:t>
                  </w:r>
                </w:p>
              </w:tc>
              <w:tc>
                <w:tcPr/>
                <w:p>
                  <w:pPr>
                    <w:pStyle w:val="Compact"/>
                    <w:jc w:val="right"/>
                    <w:jc w:val="center"/>
                  </w:pPr>
                  <w:r>
                    <w:t xml:space="preserve">0.092</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1.627</w:t>
                  </w:r>
                </w:p>
              </w:tc>
              <w:tc>
                <w:tcPr/>
                <w:p>
                  <w:pPr>
                    <w:pStyle w:val="Compact"/>
                    <w:jc w:val="right"/>
                    <w:jc w:val="center"/>
                  </w:pPr>
                  <w:r>
                    <w:t xml:space="preserve">0.945</w:t>
                  </w:r>
                </w:p>
              </w:tc>
              <w:tc>
                <w:tcPr/>
                <w:p>
                  <w:pPr>
                    <w:pStyle w:val="Compact"/>
                    <w:jc w:val="right"/>
                    <w:jc w:val="center"/>
                  </w:pPr>
                  <w:r>
                    <w:t xml:space="preserve">-0.22</w:t>
                  </w:r>
                </w:p>
              </w:tc>
              <w:tc>
                <w:tcPr/>
                <w:p>
                  <w:pPr>
                    <w:pStyle w:val="Compact"/>
                    <w:jc w:val="right"/>
                    <w:jc w:val="center"/>
                  </w:pPr>
                  <w:r>
                    <w:t xml:space="preserve">3.453</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2.923</w:t>
                  </w:r>
                </w:p>
              </w:tc>
              <w:tc>
                <w:tcPr/>
                <w:p>
                  <w:pPr>
                    <w:pStyle w:val="Compact"/>
                    <w:jc w:val="right"/>
                    <w:jc w:val="center"/>
                  </w:pPr>
                  <w:r>
                    <w:t xml:space="preserve">0.976</w:t>
                  </w:r>
                </w:p>
              </w:tc>
              <w:tc>
                <w:tcPr/>
                <w:p>
                  <w:pPr>
                    <w:pStyle w:val="Compact"/>
                    <w:jc w:val="right"/>
                    <w:jc w:val="center"/>
                  </w:pPr>
                  <w:r>
                    <w:t xml:space="preserve">1.054</w:t>
                  </w:r>
                </w:p>
              </w:tc>
              <w:tc>
                <w:tcPr/>
                <w:p>
                  <w:pPr>
                    <w:pStyle w:val="Compact"/>
                    <w:jc w:val="right"/>
                    <w:jc w:val="center"/>
                  </w:pPr>
                  <w:r>
                    <w:t xml:space="preserve">4.842</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0.765</w:t>
                  </w:r>
                </w:p>
              </w:tc>
              <w:tc>
                <w:tcPr/>
                <w:p>
                  <w:pPr>
                    <w:pStyle w:val="Compact"/>
                    <w:jc w:val="right"/>
                    <w:jc w:val="center"/>
                  </w:pPr>
                  <w:r>
                    <w:t xml:space="preserve">1.161</w:t>
                  </w:r>
                </w:p>
              </w:tc>
              <w:tc>
                <w:tcPr/>
                <w:p>
                  <w:pPr>
                    <w:pStyle w:val="Compact"/>
                    <w:jc w:val="right"/>
                    <w:jc w:val="center"/>
                  </w:pPr>
                  <w:r>
                    <w:t xml:space="preserve">-1.488</w:t>
                  </w:r>
                </w:p>
              </w:tc>
              <w:tc>
                <w:tcPr/>
                <w:p>
                  <w:pPr>
                    <w:pStyle w:val="Compact"/>
                    <w:jc w:val="right"/>
                    <w:jc w:val="center"/>
                  </w:pPr>
                  <w:r>
                    <w:t xml:space="preserve">3.105</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-0.127</w:t>
                  </w:r>
                </w:p>
              </w:tc>
              <w:tc>
                <w:tcPr/>
                <w:p>
                  <w:pPr>
                    <w:pStyle w:val="Compact"/>
                    <w:jc w:val="right"/>
                    <w:jc w:val="center"/>
                  </w:pPr>
                  <w:r>
                    <w:t xml:space="preserve">1.165</w:t>
                  </w:r>
                </w:p>
              </w:tc>
              <w:tc>
                <w:tcPr/>
                <w:p>
                  <w:pPr>
                    <w:pStyle w:val="Compact"/>
                    <w:jc w:val="right"/>
                    <w:jc w:val="center"/>
                  </w:pPr>
                  <w:r>
                    <w:t xml:space="preserve">-2.482</w:t>
                  </w:r>
                </w:p>
              </w:tc>
              <w:tc>
                <w:tcPr/>
                <w:p>
                  <w:pPr>
                    <w:pStyle w:val="Compact"/>
                    <w:jc w:val="right"/>
                    <w:jc w:val="center"/>
                  </w:pPr>
                  <w:r>
                    <w:t xml:space="preserve">2.144</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0.457</w:t>
                  </w:r>
                </w:p>
              </w:tc>
              <w:tc>
                <w:tcPr/>
                <w:p>
                  <w:pPr>
                    <w:pStyle w:val="Compact"/>
                    <w:jc w:val="right"/>
                    <w:jc w:val="center"/>
                  </w:pPr>
                  <w:r>
                    <w:t xml:space="preserve">1.149</w:t>
                  </w:r>
                </w:p>
              </w:tc>
              <w:tc>
                <w:tcPr/>
                <w:p>
                  <w:pPr>
                    <w:pStyle w:val="Compact"/>
                    <w:jc w:val="right"/>
                    <w:jc w:val="center"/>
                  </w:pPr>
                  <w:r>
                    <w:t xml:space="preserve">-1.86</w:t>
                  </w:r>
                </w:p>
              </w:tc>
              <w:tc>
                <w:tcPr/>
                <w:p>
                  <w:pPr>
                    <w:pStyle w:val="Compact"/>
                    <w:jc w:val="right"/>
                    <w:jc w:val="center"/>
                  </w:pPr>
                  <w:r>
                    <w:t xml:space="preserve">2.557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0.21</w:t>
                  </w:r>
                </w:p>
              </w:tc>
              <w:tc>
                <w:tcPr/>
                <w:p>
                  <w:pPr>
                    <w:pStyle w:val="Compact"/>
                    <w:jc w:val="right"/>
                    <w:jc w:val="center"/>
                  </w:pPr>
                  <w:r>
                    <w:t xml:space="preserve">1.149</w:t>
                  </w:r>
                </w:p>
              </w:tc>
              <w:tc>
                <w:tcPr/>
                <w:p>
                  <w:pPr>
                    <w:pStyle w:val="Compact"/>
                    <w:jc w:val="right"/>
                    <w:jc w:val="center"/>
                  </w:pPr>
                  <w:r>
                    <w:t xml:space="preserve">-2.051</w:t>
                  </w:r>
                </w:p>
              </w:tc>
              <w:tc>
                <w:tcPr/>
                <w:p>
                  <w:pPr>
                    <w:pStyle w:val="Compact"/>
                    <w:jc w:val="right"/>
                    <w:jc w:val="center"/>
                  </w:pPr>
                  <w:r>
                    <w:t xml:space="preserve">2.359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-4.438</w:t>
                  </w:r>
                </w:p>
              </w:tc>
              <w:tc>
                <w:tcPr/>
                <w:p>
                  <w:pPr>
                    <w:pStyle w:val="Compact"/>
                    <w:jc w:val="right"/>
                    <w:jc w:val="center"/>
                  </w:pPr>
                  <w:r>
                    <w:t xml:space="preserve">0.935</w:t>
                  </w:r>
                </w:p>
              </w:tc>
              <w:tc>
                <w:tcPr/>
                <w:p>
                  <w:pPr>
                    <w:pStyle w:val="Compact"/>
                    <w:jc w:val="right"/>
                    <w:jc w:val="center"/>
                  </w:pPr>
                  <w:r>
                    <w:t xml:space="preserve">-6.247</w:t>
                  </w:r>
                </w:p>
              </w:tc>
              <w:tc>
                <w:tcPr/>
                <w:p>
                  <w:pPr>
                    <w:pStyle w:val="Compact"/>
                    <w:jc w:val="right"/>
                    <w:jc w:val="center"/>
                  </w:pPr>
                  <w:r>
                    <w:t xml:space="preserve">-2.627</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-0.48</w:t>
                  </w:r>
                </w:p>
              </w:tc>
              <w:tc>
                <w:tcPr/>
                <w:p>
                  <w:pPr>
                    <w:pStyle w:val="Compact"/>
                    <w:jc w:val="right"/>
                    <w:jc w:val="center"/>
                  </w:pPr>
                  <w:r>
                    <w:t xml:space="preserve">0.781</w:t>
                  </w:r>
                </w:p>
              </w:tc>
              <w:tc>
                <w:tcPr/>
                <w:p>
                  <w:pPr>
                    <w:pStyle w:val="Compact"/>
                    <w:jc w:val="right"/>
                    <w:jc w:val="center"/>
                  </w:pPr>
                  <w:r>
                    <w:t xml:space="preserve">-1.994</w:t>
                  </w:r>
                </w:p>
              </w:tc>
              <w:tc>
                <w:tcPr/>
                <w:p>
                  <w:pPr>
                    <w:pStyle w:val="Compact"/>
                    <w:jc w:val="right"/>
                    <w:jc w:val="center"/>
                  </w:pPr>
                  <w:r>
                    <w:t xml:space="preserve">1.076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-0.02</w:t>
                  </w:r>
                </w:p>
              </w:tc>
              <w:tc>
                <w:tcPr/>
                <w:p>
                  <w:pPr>
                    <w:pStyle w:val="Compact"/>
                    <w:jc w:val="right"/>
                    <w:jc w:val="center"/>
                  </w:pPr>
                  <w:r>
                    <w:t xml:space="preserve">0.75</w:t>
                  </w:r>
                </w:p>
              </w:tc>
              <w:tc>
                <w:tcPr/>
                <w:p>
                  <w:pPr>
                    <w:pStyle w:val="Compact"/>
                    <w:jc w:val="right"/>
                    <w:jc w:val="center"/>
                  </w:pPr>
                  <w:r>
                    <w:t xml:space="preserve">-1.473</w:t>
                  </w:r>
                </w:p>
              </w:tc>
              <w:tc>
                <w:tcPr/>
                <w:p>
                  <w:pPr>
                    <w:pStyle w:val="Compact"/>
                    <w:jc w:val="right"/>
                    <w:jc w:val="center"/>
                  </w:pPr>
                  <w:r>
                    <w:t xml:space="preserve">1.492</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0.203</w:t>
                  </w:r>
                </w:p>
              </w:tc>
              <w:tc>
                <w:tcPr/>
                <w:p>
                  <w:pPr>
                    <w:pStyle w:val="Compact"/>
                    <w:jc w:val="right"/>
                    <w:jc w:val="center"/>
                  </w:pPr>
                  <w:r>
                    <w:t xml:space="preserve">0.748</w:t>
                  </w:r>
                </w:p>
              </w:tc>
              <w:tc>
                <w:tcPr/>
                <w:p>
                  <w:pPr>
                    <w:pStyle w:val="Compact"/>
                    <w:jc w:val="right"/>
                    <w:jc w:val="center"/>
                  </w:pPr>
                  <w:r>
                    <w:t xml:space="preserve">-1.228</w:t>
                  </w:r>
                </w:p>
              </w:tc>
              <w:tc>
                <w:tcPr/>
                <w:p>
                  <w:pPr>
                    <w:pStyle w:val="Compact"/>
                    <w:jc w:val="right"/>
                    <w:jc w:val="center"/>
                  </w:pPr>
                  <w:r>
                    <w:t xml:space="preserve">1.688</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w:t>
                  </w:r>
                </w:p>
              </w:tc>
              <w:tc>
                <w:tcPr/>
                <w:p>
                  <w:pPr>
                    <w:pStyle w:val="Compact"/>
                    <w:jc w:val="right"/>
                    <w:jc w:val="center"/>
                  </w:pPr>
                  <w:r>
                    <w:t xml:space="preserve">0.758</w:t>
                  </w:r>
                </w:p>
              </w:tc>
              <w:tc>
                <w:tcPr/>
                <w:p>
                  <w:pPr>
                    <w:pStyle w:val="Compact"/>
                    <w:jc w:val="right"/>
                    <w:jc w:val="center"/>
                  </w:pPr>
                  <w:r>
                    <w:t xml:space="preserve">-1.186</w:t>
                  </w:r>
                </w:p>
              </w:tc>
              <w:tc>
                <w:tcPr/>
                <w:p>
                  <w:pPr>
                    <w:pStyle w:val="Compact"/>
                    <w:jc w:val="right"/>
                    <w:jc w:val="center"/>
                  </w:pPr>
                  <w:r>
                    <w:t xml:space="preserve">1.799</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0.793</w:t>
                  </w:r>
                </w:p>
              </w:tc>
              <w:tc>
                <w:tcPr/>
                <w:p>
                  <w:pPr>
                    <w:pStyle w:val="Compact"/>
                    <w:jc w:val="right"/>
                    <w:jc w:val="center"/>
                  </w:pPr>
                  <w:r>
                    <w:t xml:space="preserve">0.769</w:t>
                  </w:r>
                </w:p>
              </w:tc>
              <w:tc>
                <w:tcPr/>
                <w:p>
                  <w:pPr>
                    <w:pStyle w:val="Compact"/>
                    <w:jc w:val="right"/>
                    <w:jc w:val="center"/>
                  </w:pPr>
                  <w:r>
                    <w:t xml:space="preserve">-0.602</w:t>
                  </w:r>
                </w:p>
              </w:tc>
              <w:tc>
                <w:tcPr/>
                <w:p>
                  <w:pPr>
                    <w:pStyle w:val="Compact"/>
                    <w:jc w:val="right"/>
                    <w:jc w:val="center"/>
                  </w:pPr>
                  <w:r>
                    <w:t xml:space="preserve">2.44</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4.195</w:t>
                  </w:r>
                </w:p>
              </w:tc>
              <w:tc>
                <w:tcPr/>
                <w:p>
                  <w:pPr>
                    <w:pStyle w:val="Compact"/>
                    <w:jc w:val="right"/>
                    <w:jc w:val="center"/>
                  </w:pPr>
                  <w:r>
                    <w:t xml:space="preserve">0.962</w:t>
                  </w:r>
                </w:p>
              </w:tc>
              <w:tc>
                <w:tcPr/>
                <w:p>
                  <w:pPr>
                    <w:pStyle w:val="Compact"/>
                    <w:jc w:val="right"/>
                    <w:jc w:val="center"/>
                  </w:pPr>
                  <w:r>
                    <w:t xml:space="preserve">2.363</w:t>
                  </w:r>
                </w:p>
              </w:tc>
              <w:tc>
                <w:tcPr/>
                <w:p>
                  <w:pPr>
                    <w:pStyle w:val="Compact"/>
                    <w:jc w:val="right"/>
                    <w:jc w:val="center"/>
                  </w:pPr>
                  <w:r>
                    <w:t xml:space="preserve">6.132</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1.306</w:t>
                  </w:r>
                </w:p>
              </w:tc>
              <w:tc>
                <w:tcPr/>
                <w:p>
                  <w:pPr>
                    <w:pStyle w:val="Compact"/>
                    <w:jc w:val="right"/>
                    <w:jc w:val="center"/>
                  </w:pPr>
                  <w:r>
                    <w:t xml:space="preserve">0.508</w:t>
                  </w:r>
                </w:p>
              </w:tc>
              <w:tc>
                <w:tcPr/>
                <w:p>
                  <w:pPr>
                    <w:pStyle w:val="Compact"/>
                    <w:jc w:val="right"/>
                    <w:jc w:val="center"/>
                  </w:pPr>
                  <w:r>
                    <w:t xml:space="preserve">0.258</w:t>
                  </w:r>
                </w:p>
              </w:tc>
              <w:tc>
                <w:tcPr/>
                <w:p>
                  <w:pPr>
                    <w:pStyle w:val="Compact"/>
                    <w:jc w:val="right"/>
                    <w:jc w:val="center"/>
                  </w:pPr>
                  <w:r>
                    <w:t xml:space="preserve">2.256</w:t>
                  </w:r>
                </w:p>
              </w:tc>
            </w:tr>
          </w:tbl>
          <w:bookmarkEnd w:id="6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0"/>
    <w:bookmarkStart w:id="83" w:name="supplementary-model-comparison"/>
    <w:p>
      <w:pPr>
        <w:pStyle w:val="Heading3"/>
      </w:pPr>
      <w:r>
        <w:t xml:space="preserve">8.3 Supplementary model comparison</w:t>
      </w:r>
    </w:p>
    <w:bookmarkStart w:id="76" w:name="preferences-model-comparison"/>
    <w:p>
      <w:pPr>
        <w:pStyle w:val="Heading4"/>
      </w:pPr>
      <w:r>
        <w:t xml:space="preserve">8.3.1 Preferences model comparison:</w:t>
      </w:r>
    </w:p>
    <w:p>
      <w:pPr>
        <w:pStyle w:val="FirstParagraph"/>
      </w:pPr>
      <w:r>
        <w:t xml:space="preserve">The preference model was observed to fit the data best, showing that participants behaviour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interaction was fitted to highlight the increase in fit associated with the interaction.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74" w:name="suppfig-preference_model_comparison"/>
          <w:p>
            <w:pPr>
              <w:pStyle w:val="Compact"/>
              <w:jc w:val="center"/>
            </w:pPr>
            <w:r>
              <w:drawing>
                <wp:inline>
                  <wp:extent cx="5334000" cy="4634813"/>
                  <wp:effectExtent b="0" l="0" r="0" t="0"/>
                  <wp:docPr descr="" title="" id="72" name="Picture"/>
                  <a:graphic>
                    <a:graphicData uri="http://schemas.openxmlformats.org/drawingml/2006/picture">
                      <pic:pic>
                        <pic:nvPicPr>
                          <pic:cNvPr descr="index_files/figure-docx/S2-choice_model_comparison-suppfig-preference_model_comparison-output-1.png" id="73" name="Picture"/>
                          <pic:cNvPicPr>
                            <a:picLocks noChangeArrowheads="1" noChangeAspect="1"/>
                          </pic:cNvPicPr>
                        </pic:nvPicPr>
                        <pic:blipFill>
                          <a:blip r:embed="rId71"/>
                          <a:stretch>
                            <a:fillRect/>
                          </a:stretch>
                        </pic:blipFill>
                        <pic:spPr bwMode="auto">
                          <a:xfrm>
                            <a:off x="0" y="0"/>
                            <a:ext cx="5334000" cy="4634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(No_FC) model where future cost factor was omitted from preferences, (No_CC) model where future cost factor was omitted from preferences, (No_Planning) model where DV was omitted, (No_Energy) model where energy factor was omitted from preferences, (No_Offer) model where offer factor was omitted from preferences</w:t>
            </w:r>
          </w:p>
          <w:bookmarkEnd w:id="7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75"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-1491.09</w:t>
                  </w:r>
                </w:p>
              </w:tc>
              <w:tc>
                <w:tcPr/>
                <w:p>
                  <w:pPr>
                    <w:pStyle w:val="Compact"/>
                    <w:jc w:val="right"/>
                    <w:jc w:val="center"/>
                  </w:pPr>
                  <w:r>
                    <w:t xml:space="preserve">253.49</w:t>
                  </w:r>
                </w:p>
              </w:tc>
              <w:tc>
                <w:tcPr/>
                <w:p>
                  <w:pPr>
                    <w:pStyle w:val="Compact"/>
                    <w:jc w:val="right"/>
                    <w:jc w:val="center"/>
                  </w:pPr>
                  <w:r>
                    <w:t xml:space="preserve">0</w:t>
                  </w:r>
                </w:p>
              </w:tc>
              <w:tc>
                <w:tcPr/>
                <w:p>
                  <w:pPr>
                    <w:pStyle w:val="Compact"/>
                    <w:jc w:val="right"/>
                    <w:jc w:val="center"/>
                  </w:pPr>
                  <w:r>
                    <w:t xml:space="preserve">48.6156</w:t>
                  </w:r>
                </w:p>
              </w:tc>
              <w:tc>
                <w:tcPr/>
                <w:p>
                  <w:pPr>
                    <w:pStyle w:val="Compact"/>
                    <w:jc w:val="right"/>
                    <w:jc w:val="center"/>
                  </w:pPr>
                  <w:r>
                    <w:t xml:space="preserve">0</w:t>
                  </w:r>
                </w:p>
              </w:tc>
            </w:tr>
            <w:tr>
              <w:tc>
                <w:tcPr/>
                <w:p>
                  <w:pPr>
                    <w:pStyle w:val="Compact"/>
                    <w:jc w:val="left"/>
                    <w:jc w:val="center"/>
                  </w:pPr>
                  <w:r>
                    <w:t xml:space="preserve">No_Interaction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10.3472</w:t>
                  </w:r>
                </w:p>
              </w:tc>
              <w:tc>
                <w:tcPr/>
                <w:p>
                  <w:pPr>
                    <w:pStyle w:val="Compact"/>
                    <w:jc w:val="right"/>
                    <w:jc w:val="center"/>
                  </w:pPr>
                  <w:r>
                    <w:t xml:space="preserve">48.9103</w:t>
                  </w:r>
                </w:p>
              </w:tc>
              <w:tc>
                <w:tcPr/>
                <w:p>
                  <w:pPr>
                    <w:pStyle w:val="Compact"/>
                    <w:jc w:val="right"/>
                    <w:jc w:val="center"/>
                  </w:pPr>
                  <w:r>
                    <w:t xml:space="preserve">5.41809</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26.7017</w:t>
                  </w:r>
                </w:p>
              </w:tc>
              <w:tc>
                <w:tcPr/>
                <w:p>
                  <w:pPr>
                    <w:pStyle w:val="Compact"/>
                    <w:jc w:val="right"/>
                    <w:jc w:val="center"/>
                  </w:pPr>
                  <w:r>
                    <w:t xml:space="preserve">48.5354</w:t>
                  </w:r>
                </w:p>
              </w:tc>
              <w:tc>
                <w:tcPr/>
                <w:p>
                  <w:pPr>
                    <w:pStyle w:val="Compact"/>
                    <w:jc w:val="right"/>
                    <w:jc w:val="center"/>
                  </w:pPr>
                  <w:r>
                    <w:t xml:space="preserve">7.5994</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48.3996</w:t>
                  </w:r>
                </w:p>
              </w:tc>
              <w:tc>
                <w:tcPr/>
                <w:p>
                  <w:pPr>
                    <w:pStyle w:val="Compact"/>
                    <w:jc w:val="right"/>
                    <w:jc w:val="center"/>
                  </w:pPr>
                  <w:r>
                    <w:t xml:space="preserve">49.8892</w:t>
                  </w:r>
                </w:p>
              </w:tc>
              <w:tc>
                <w:tcPr/>
                <w:p>
                  <w:pPr>
                    <w:pStyle w:val="Compact"/>
                    <w:jc w:val="right"/>
                    <w:jc w:val="center"/>
                  </w:pPr>
                  <w:r>
                    <w:t xml:space="preserve">9.67725</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90.1381</w:t>
                  </w:r>
                </w:p>
              </w:tc>
              <w:tc>
                <w:tcPr/>
                <w:p>
                  <w:pPr>
                    <w:pStyle w:val="Compact"/>
                    <w:jc w:val="right"/>
                    <w:jc w:val="center"/>
                  </w:pPr>
                  <w:r>
                    <w:t xml:space="preserve">48.8039</w:t>
                  </w:r>
                </w:p>
              </w:tc>
              <w:tc>
                <w:tcPr/>
                <w:p>
                  <w:pPr>
                    <w:pStyle w:val="Compact"/>
                    <w:jc w:val="right"/>
                    <w:jc w:val="center"/>
                  </w:pPr>
                  <w:r>
                    <w:t xml:space="preserve">17.2262</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135.351</w:t>
                  </w:r>
                </w:p>
              </w:tc>
              <w:tc>
                <w:tcPr/>
                <w:p>
                  <w:pPr>
                    <w:pStyle w:val="Compact"/>
                    <w:jc w:val="right"/>
                    <w:jc w:val="center"/>
                  </w:pPr>
                  <w:r>
                    <w:t xml:space="preserve">51.5682</w:t>
                  </w:r>
                </w:p>
              </w:tc>
              <w:tc>
                <w:tcPr/>
                <w:p>
                  <w:pPr>
                    <w:pStyle w:val="Compact"/>
                    <w:jc w:val="right"/>
                    <w:jc w:val="center"/>
                  </w:pPr>
                  <w:r>
                    <w:t xml:space="preserve">17.8535</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138.745</w:t>
                  </w:r>
                </w:p>
              </w:tc>
              <w:tc>
                <w:tcPr/>
                <w:p>
                  <w:pPr>
                    <w:pStyle w:val="Compact"/>
                    <w:jc w:val="right"/>
                    <w:jc w:val="center"/>
                  </w:pPr>
                  <w:r>
                    <w:t xml:space="preserve">54.4382</w:t>
                  </w:r>
                </w:p>
              </w:tc>
              <w:tc>
                <w:tcPr/>
                <w:p>
                  <w:pPr>
                    <w:pStyle w:val="Compact"/>
                    <w:jc w:val="right"/>
                    <w:jc w:val="center"/>
                  </w:pPr>
                  <w:r>
                    <w:t xml:space="preserve">19.333</w:t>
                  </w:r>
                </w:p>
              </w:tc>
            </w:tr>
          </w:tbl>
          <w:bookmarkEnd w:id="7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6"/>
    <w:bookmarkStart w:id="82" w:name="frequency-model-comparison"/>
    <w:p>
      <w:pPr>
        <w:pStyle w:val="Heading4"/>
      </w:pPr>
      <w:r>
        <w:t xml:space="preserve">8.3.2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witk</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80" w:name="suppfig-frequency_model_comparison"/>
          <w:p>
            <w:pPr>
              <w:pStyle w:val="Compact"/>
              <w:jc w:val="center"/>
            </w:pPr>
            <w:r>
              <w:drawing>
                <wp:inline>
                  <wp:extent cx="5334000" cy="5418265"/>
                  <wp:effectExtent b="0" l="0" r="0" t="0"/>
                  <wp:docPr descr="" title="" id="78" name="Picture"/>
                  <a:graphic>
                    <a:graphicData uri="http://schemas.openxmlformats.org/drawingml/2006/picture">
                      <pic:pic>
                        <pic:nvPicPr>
                          <pic:cNvPr descr="index_files/figure-docx/S2-choice_model_comparison-suppfig-frequency_model_comparison-output-1.png" id="79" name="Picture"/>
                          <pic:cNvPicPr>
                            <a:picLocks noChangeArrowheads="1" noChangeAspect="1"/>
                          </pic:cNvPicPr>
                        </pic:nvPicPr>
                        <pic:blipFill>
                          <a:blip r:embed="rId77"/>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8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81"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2"/>
    <w:bookmarkEnd w:id="83"/>
    <w:bookmarkStart w:id="130" w:name="parameters-recovery"/>
    <w:p>
      <w:pPr>
        <w:pStyle w:val="Heading3"/>
      </w:pPr>
      <w:r>
        <w:t xml:space="preserve">8.4 Parameters recovery:</w:t>
      </w:r>
    </w:p>
    <w:p>
      <w:pPr>
        <w:pStyle w:val="FirstParagraph"/>
      </w:pPr>
      <w:r>
        <w:t xml:space="preserve">In the main text, the preference model was observed to fit participants behaviour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87" w:name="suppfig-population_parameter_recovery"/>
          <w:p>
            <w:pPr>
              <w:pStyle w:val="Compact"/>
              <w:jc w:val="center"/>
            </w:pPr>
            <w:r>
              <w:drawing>
                <wp:inline>
                  <wp:extent cx="5334000" cy="2157093"/>
                  <wp:effectExtent b="0" l="0" r="0" t="0"/>
                  <wp:docPr descr="" title="" id="85" name="Picture"/>
                  <a:graphic>
                    <a:graphicData uri="http://schemas.openxmlformats.org/drawingml/2006/picture">
                      <pic:pic>
                        <pic:nvPicPr>
                          <pic:cNvPr descr="index_files/figure-docx/S3-parameters_recovery-suppfig-population_parameter_recovery-output-1.png" id="86" name="Picture"/>
                          <pic:cNvPicPr>
                            <a:picLocks noChangeArrowheads="1" noChangeAspect="1"/>
                          </pic:cNvPicPr>
                        </pic:nvPicPr>
                        <pic:blipFill>
                          <a:blip r:embed="rId84"/>
                          <a:stretch>
                            <a:fillRect/>
                          </a:stretch>
                        </pic:blipFill>
                        <pic:spPr bwMode="auto">
                          <a:xfrm>
                            <a:off x="0" y="0"/>
                            <a:ext cx="5334000" cy="2157093"/>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29" w:name="refs"/>
    <w:bookmarkStart w:id="88"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88"/>
    <w:bookmarkStart w:id="89"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89"/>
    <w:bookmarkStart w:id="90"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90"/>
    <w:bookmarkStart w:id="91"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91"/>
    <w:bookmarkStart w:id="92"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92"/>
    <w:bookmarkStart w:id="93"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93"/>
    <w:bookmarkStart w:id="95"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94">
        <w:r>
          <w:rPr>
            <w:rStyle w:val="Hyperlink"/>
          </w:rPr>
          <w:t xml:space="preserve">https://doi.org/10.18637/jss.v103.i15</w:t>
        </w:r>
      </w:hyperlink>
      <w:r>
        <w:t xml:space="preserve">.</w:t>
      </w:r>
    </w:p>
    <w:bookmarkEnd w:id="95"/>
    <w:bookmarkStart w:id="96"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96"/>
    <w:bookmarkStart w:id="97"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97"/>
    <w:bookmarkStart w:id="98"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98"/>
    <w:bookmarkStart w:id="99"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99"/>
    <w:bookmarkStart w:id="100"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100"/>
    <w:bookmarkStart w:id="101"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101"/>
    <w:bookmarkStart w:id="102"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102"/>
    <w:bookmarkStart w:id="103"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103"/>
    <w:bookmarkStart w:id="104"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104"/>
    <w:bookmarkStart w:id="105"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105"/>
    <w:bookmarkStart w:id="106"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106"/>
    <w:bookmarkStart w:id="107"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107"/>
    <w:bookmarkStart w:id="108"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108"/>
    <w:bookmarkStart w:id="109"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109"/>
    <w:bookmarkStart w:id="110"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110"/>
    <w:bookmarkStart w:id="111"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111"/>
    <w:bookmarkStart w:id="112"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112"/>
    <w:bookmarkStart w:id="114"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113">
        <w:r>
          <w:rPr>
            <w:rStyle w:val="Hyperlink"/>
          </w:rPr>
          <w:t xml:space="preserve">https://doi.org/10.1016/j.neuroimage.2022.119222</w:t>
        </w:r>
      </w:hyperlink>
      <w:r>
        <w:t xml:space="preserve">.</w:t>
      </w:r>
    </w:p>
    <w:bookmarkEnd w:id="114"/>
    <w:bookmarkStart w:id="116"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115">
        <w:r>
          <w:rPr>
            <w:rStyle w:val="Hyperlink"/>
          </w:rPr>
          <w:t xml:space="preserve">https://doi.org/10.5281/zenodo.6328296</w:t>
        </w:r>
      </w:hyperlink>
      <w:r>
        <w:t xml:space="preserve">.</w:t>
      </w:r>
    </w:p>
    <w:bookmarkEnd w:id="116"/>
    <w:bookmarkStart w:id="117"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117"/>
    <w:bookmarkStart w:id="118"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118"/>
    <w:bookmarkStart w:id="119"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119"/>
    <w:bookmarkStart w:id="12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20"/>
    <w:bookmarkStart w:id="12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21"/>
    <w:bookmarkStart w:id="12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22"/>
    <w:bookmarkStart w:id="12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23"/>
    <w:bookmarkStart w:id="12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24"/>
    <w:bookmarkStart w:id="12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25"/>
    <w:bookmarkStart w:id="126"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26"/>
    <w:bookmarkStart w:id="127"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27"/>
    <w:bookmarkStart w:id="128"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28"/>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63" Target="media/rId63.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9" Target="https://AlexLepauvre.github.io/state_abstraction_paper/index.ipynb.html" TargetMode="External" /><Relationship Type="http://schemas.openxmlformats.org/officeDocument/2006/relationships/hyperlink" Id="rId113" Target="https://doi.org/10.1016/j.neuroimage.2022.119222" TargetMode="External" /><Relationship Type="http://schemas.openxmlformats.org/officeDocument/2006/relationships/hyperlink" Id="rId94" Target="https://doi.org/10.18637/jss.v103.i15" TargetMode="External" /><Relationship Type="http://schemas.openxmlformats.org/officeDocument/2006/relationships/hyperlink" Id="rId115"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 Target="https://AlexLepauvre.github.io/state_abstraction_paper/index.ipynb.html" TargetMode="External" /><Relationship Type="http://schemas.openxmlformats.org/officeDocument/2006/relationships/hyperlink" Id="rId113" Target="https://doi.org/10.1016/j.neuroimage.2022.119222" TargetMode="External" /><Relationship Type="http://schemas.openxmlformats.org/officeDocument/2006/relationships/hyperlink" Id="rId94" Target="https://doi.org/10.18637/jss.v103.i15" TargetMode="External" /><Relationship Type="http://schemas.openxmlformats.org/officeDocument/2006/relationships/hyperlink" Id="rId115"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 preferences</dc:title>
  <dc:creator>Alex Lepauvre; Florian Ott; Stefan Kiebel</dc:creator>
  <cp:keywords>Decision making, Reinforcement learning</cp:keywords>
  <dcterms:created xsi:type="dcterms:W3CDTF">2026-07-27T14:31:05Z</dcterms:created>
  <dcterms:modified xsi:type="dcterms:W3CDTF">2026-07-27T14:31:05Z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2026-07-27</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