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34.png" ContentType="image/png"/>
  <Override PartName="/word/media/rId39.png" ContentType="image/png"/>
  <Override PartName="/word/media/rId43.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 preferences</w:t>
      </w:r>
    </w:p>
    <w:p>
      <w:pPr>
        <w:pStyle w:val="Author"/>
      </w:pPr>
      <w:r>
        <w:t xml:space="preserve">Alex Lepauvre</w:t>
      </w:r>
    </w:p>
    <w:p>
      <w:pPr>
        <w:pStyle w:val="Author"/>
      </w:pPr>
      <w:r>
        <w:t xml:space="preserve">Stefan Kiebel</w:t>
      </w:r>
    </w:p>
    <w:p>
      <w:pPr>
        <w:pStyle w:val="Date"/>
      </w:pPr>
      <w:r>
        <w:t xml:space="preserve">2026-07-09</w:t>
      </w:r>
    </w:p>
    <w:p>
      <w:pPr>
        <w:pStyle w:val="AbstractTitle"/>
      </w:pPr>
      <w:r>
        <w:t xml:space="preserve">Abstract</w:t>
      </w:r>
    </w:p>
    <w:p>
      <w:pPr>
        <w:pStyle w:val="Abstract"/>
      </w:pPr>
      <w:r>
        <w:t xml:space="preserve">[]</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Rao and Ballard 1999; Clark 2013; Friston 2010)</w:t>
      </w:r>
      <w:r>
        <w:t xml:space="preserve">. Sensory evidence is often noisy, incomplete, or costly to acquire with high precision: better evidence may require more time, attention, sampling, or specialized processing. The Bayesian solution is to combine current evidence with prior information derived from experience and the statistical structure of the environment. As formulated in the ‘Bayesian brain hypothesis’, the influence of prior information should depend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We propose that an analogous principle applies to planning-based decision making. In this case, the role of sensory evidence is taken by an internally generated estimate of action value. In sequential decision tasks, such estimates can be generated by internal forward planning, which provides state-specific information about the long-value of choosing an action. However, generating these estimates is computationally costly because it requires evaluating future outcomes in complex and dynamic environments. In analogy to the Bayesian view on perception, agents may therefore combine their estimates derived from costly forward planning, with stored prior information about which actions are usually appropriate in a given task.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2024)</w:t>
      </w:r>
      <w:r>
        <w:t xml:space="preserve">.</w:t>
      </w:r>
    </w:p>
    <w:p>
      <w:pPr>
        <w:pStyle w:val="BodyText"/>
      </w:pPr>
      <w:r>
        <w:t xml:space="preserve">Following these previous accounts, we assume that choices in complex sequential decision making reflect the integration of two sources of information about action. First, participants have acquired task-structured preferences that reflect regularities in the task structure and their own experience within the task. Second, as is typically modelled in reinforcement learning, for each trial, participants use forward planning to derive values for each available action in an online fashion. These values are computationally costly and represent state-specific evidence for each action. Assuming a Bayesian approach, we hypothesize that these two sources are integrated by weighting the contribution of planning against preferences by their respective uncertainties. This hypothesis implies that strong preferences should guide choices and produce faster responses because less planning is needed. Weak or uncertain preferences should increase reliance on forward planning and make choices more sensitive to planning-derived DV and produce longer response times because of the involved computations.</w:t>
      </w:r>
    </w:p>
    <w:p>
      <w:pPr>
        <w:pStyle w:val="BodyText"/>
      </w:pPr>
      <w:r>
        <w:t xml:space="preserve">In this paper, we test this hypothesis in a complex sequential decision-making task, using model comparisons and response-time analyses. We compare models in which choice variability is explained by recent action frequencies, coarse contextual divisions of the state space, or structured preferences derived from task features. Our results show that participants’ choices are best captured by a model that combines planning-derived DV with state-dependent preferences constructed from multiple task features. We further show that these preferences interact with planning such that choices are guided more strongly by planning when preferences are weak, and more strongly by preferences when they are decisive. Together, these findings suggest that human sequential decision making reflects the integration of costly planning with structured, task-informed preferences that simplify action selection.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3"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w:t>
      </w:r>
      <w:r>
        <w:t xml:space="preserve"> </w:t>
      </w:r>
      <w:r>
        <w:t xml:space="preserve">Ott et al. (2022a)</w:t>
      </w:r>
      <w:r>
        <w:t xml:space="preserve"> </w:t>
      </w:r>
      <w:r>
        <w:t xml:space="preserve">and colleagues, in which 40 participants (22, mean age=24.4, SD=4.6) took part in a sequential decision making task</w:t>
      </w:r>
      <w:r>
        <w:t xml:space="preserve"> </w:t>
      </w:r>
      <w:r>
        <w:t xml:space="preserve">(Ott et al. 2022a, 2022b)</w:t>
      </w:r>
      <w:r>
        <w:t xml:space="preserve">. The study was approved by the Institutional Review Board of the Technische Universität Dresden and conducted in accordance to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offers associated with a reward of 1, 2, 3 or 4 points which they could either accept or reject. To accept an offer, participants had to pay an energy cost of either 1 or 2 energy points (low cost, LC and high cost, LC segments respectively). When they rejected the offer, they gained 1 energy point. Participants energy level was capped at 6, so their energy could range from 0 (depleted energy) to 6 (max energy). Offers varied in each trial following a uniform distribution (equal probability of each offer in each trial). Costs remained fixed for 4 conscecutive trials, which we refer to as a segment, and participants were informed of the price of the current 4 trials and future 4 trials. The costs of the segment beyond the current horizon was randomly picked such that each costs transitions (from current high or low cost to future high or low cost) were equally probable throughout the experiment. When participants accept an offer that they cannot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participants had to decide whether to accept or reject an offer based on the current offer and cost ratio. They also had to take into account the impact of their current decision on their future capabilities to accept offers, as systematically accepting offer will deplete energy fast, hindering their capacity to collect more reward. Therefore, maximizing overall return is non trivial in this task and requires complex planning.</w:t>
      </w:r>
    </w:p>
    <w:p>
      <w:pPr>
        <w:pStyle w:val="BodyText"/>
      </w:pPr>
      <w:r>
        <w:t xml:space="preserve">The temporal structure of the trials was as follows. In the beginning of each trial, a fixation cross was presented for 0.5s in the middle of the screen. Then, an offer appeared represented by the number of</w:t>
      </w:r>
      <w:r>
        <w:t xml:space="preserve"> </w:t>
      </w:r>
      <w:r>
        <w:t xml:space="preserve">“cups”</w:t>
      </w:r>
      <w:r>
        <w:t xml:space="preserve"> </w:t>
      </w:r>
      <w:r>
        <w:t xml:space="preserve">presented in the middle of the screen and choice options were presented on each sides of the screen, surrounded by a black frame. Participants had 5s to provide an answer, by selecting one or the other options (accept or reject), in which case the frame around the chosen option disappeared. Following their choice, the resulting change in energy and points were displayed (green indicating an increase in point and/or energy, red indicating a decrease in energy) for 1s. The trial ended with an inter-trial interval (ITI) ranging from 2 to 5s (uniformly sampled, rounded to the first decimal) in which the offer disappeared and unframed choice options remained on screen. If participants took longer than 5s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conducted the experiment consisting of 240 trials (60 segments). The test session was performed in a fMRI scanner, while the training session was performed outside of it. In both cases, participants started with an energy budget of 3, and their reward points were accumulated throughout the entire experiment. Trial sequence was pseudorandomized, such that each costs transitions (LC to LC, LC to HC, HC to LC and HC to HC, see figure</w:t>
      </w:r>
      <w:r>
        <w:t xml:space="preserve"> </w:t>
      </w:r>
      <w:hyperlink w:anchor="fig-design">
        <w:r>
          <w:rPr>
            <w:rStyle w:val="Hyperlink"/>
          </w:rPr>
          <w:t xml:space="preserve">Figure 1</w:t>
        </w:r>
      </w:hyperlink>
      <w:r>
        <w:t xml:space="preserve">) occured equally often within the training and test sessions, resulting in 9 repetition of each transition in the training session and 15 in the experiment. In addition, the offer were sampled to be equally distributed within each transition. The sequence of costs transitions and offers was kept the same across participants. Participants were offered two to three minutes breaks inside the scanner every 20 segments. The test sessions lasted around 40min.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6" w:name="forward-planning-component"/>
    <w:p>
      <w:pPr>
        <w:pStyle w:val="Heading3"/>
      </w:pPr>
      <w:r>
        <w:t xml:space="preserve">2.2 Forward planning component</w:t>
      </w:r>
    </w:p>
    <w:p>
      <w:pPr>
        <w:pStyle w:val="FirstParagraph"/>
      </w:pPr>
      <w:r>
        <w:t xml:space="preserve">To model optimal behaviour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has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behaviour would require planning considering outcomes up until the end of the task we modelled only 12 trials instead of the 240, assuming it unlikely that participants would consider trials far remote from the current horizon when planning. As the task consists of a sequence of segment pairs (8 trials) and that participants only have information regarding the state transitions within this known horizon, maximizing returns can be approximated by determining the optimal policy within these trials. However, modeling only 8 trials would imply that the task ends after those, inducing the optimal policy to aim to use up all energy by then, which would not be optimal as the task continues beyond the known horizon. To account for this, we extended the horizon to 13 trials, to ensure that energy is preserved for future segments. This enabled us to operationalize the task as an episodice MDP and solve it for a finite horizon of 13 trials. In the first 8 trials, the probability of the next state reflects the offer related stochasticity, while the rest is deterministic. For trials beyond the known horizon the uncertainty associated with the offer is compounded by the uncertainty related to the costs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8" w:name="modelling-of-participants-responses"/>
    <w:p>
      <w:pPr>
        <w:pStyle w:val="Heading3"/>
      </w:pPr>
      <w:r>
        <w:t xml:space="preserve">2.3 Modelling of participants responses</w:t>
      </w:r>
    </w:p>
    <w:p>
      <w:pPr>
        <w:pStyle w:val="FirstParagraph"/>
      </w:pPr>
      <w:r>
        <w:t xml:space="preserve">Participants behaviour were modeled using a logistic regression:</w:t>
      </w:r>
    </w:p>
    <w:p>
      <w:pPr>
        <w:pStyle w:val="BodyText"/>
      </w:pPr>
      <w:bookmarkStart w:id="17" w:name="eq-logistic_reg"/>
      <m:oMathPara>
        <m:oMathParaPr>
          <m:jc m:val="center"/>
        </m:oMathParaPr>
        <m:oMath>
          <m:r>
            <m:t>P</m:t>
          </m:r>
          <m:r>
            <m:rPr>
              <m:sty m:val="p"/>
            </m:rPr>
            <m:t>(</m:t>
          </m:r>
          <m:r>
            <m:t>a</m:t>
          </m:r>
          <m:r>
            <m:rPr>
              <m:sty m:val="p"/>
            </m:rPr>
            <m:t>=</m:t>
          </m:r>
          <m:r>
            <m:t>1</m:t>
          </m:r>
          <m:r>
            <m:rPr>
              <m:sty m:val="p"/>
            </m:rPr>
            <m:t>)</m:t>
          </m:r>
          <m:r>
            <m:rPr>
              <m:sty m:val="p"/>
            </m:rPr>
            <m:t>=</m:t>
          </m:r>
          <m:f>
            <m:fPr>
              <m:type m:val="bar"/>
            </m:fPr>
            <m:num>
              <m:r>
                <m:t>1</m:t>
              </m:r>
            </m:num>
            <m:den>
              <m:r>
                <m:t>1</m:t>
              </m:r>
              <m:r>
                <m:rPr>
                  <m:sty m:val="p"/>
                </m:rPr>
                <m:t>+</m:t>
              </m:r>
              <m:sSup>
                <m:e>
                  <m:r>
                    <m:t>e</m:t>
                  </m:r>
                </m:e>
                <m:sup>
                  <m:r>
                    <m:rPr>
                      <m:sty m:val="p"/>
                    </m:rPr>
                    <m:t>−</m:t>
                  </m:r>
                  <m:r>
                    <m:t>η</m:t>
                  </m:r>
                </m:sup>
              </m:sSup>
            </m:den>
          </m:f>
          <m:r>
            <m:t>  </m:t>
          </m:r>
          <m:r>
            <m:rPr>
              <m:sty m:val="p"/>
            </m:rPr>
            <m:t>(</m:t>
          </m:r>
          <m:r>
            <m:t>1</m:t>
          </m:r>
          <m:r>
            <m:rPr>
              <m:sty m:val="p"/>
            </m:rPr>
            <m:t>)</m:t>
          </m:r>
        </m:oMath>
      </m:oMathPara>
      <w:bookmarkEnd w:id="17"/>
    </w:p>
    <w:p>
      <w:pPr>
        <w:pStyle w:val="FirstParagraph"/>
      </w:pPr>
      <w:r>
        <w:t xml:space="preserve">We fitted 4 different models in which the</w:t>
      </w:r>
      <w:r>
        <w:t xml:space="preserve"> </w:t>
      </w:r>
      <m:oMath>
        <m:r>
          <m:t>η</m:t>
        </m:r>
      </m:oMath>
      <w:r>
        <w:t xml:space="preserve"> </w:t>
      </w:r>
      <w:r>
        <w:t xml:space="preserve">parameter is computed based on a planning component and additional regressors capturing different hypothesis regarding what underlies the deviation from optimality in participants response choices.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9" w:name="planning-model"/>
    <w:p>
      <w:pPr>
        <w:pStyle w:val="Heading4"/>
      </w:pPr>
      <w:r>
        <w:t xml:space="preserve">2.3.1 Planning model</w:t>
      </w:r>
    </w:p>
    <w:p>
      <w:pPr>
        <w:pStyle w:val="FirstParagraph"/>
      </w:pPr>
      <w:r>
        <w:t xml:space="preserve">To test whether there is any systematicity in participants deviations from optimality, we first fitted a pure</w:t>
      </w:r>
      <w:r>
        <w:t xml:space="preserve"> </w:t>
      </w:r>
      <w:r>
        <w:rPr>
          <w:b/>
          <w:bCs/>
        </w:rPr>
        <w:t xml:space="preserve">planning model</w:t>
      </w:r>
      <w:r>
        <w:t xml:space="preserve">, in which participants responses is modeled as a function of DV only:</w:t>
      </w:r>
    </w:p>
    <w:p>
      <w:pPr>
        <w:pStyle w:val="BodyText"/>
      </w:pPr>
      <w:bookmarkStart w:id="18"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18"/>
    </w:p>
    <w:p>
      <w:pPr>
        <w:pStyle w:val="FirstParagraph"/>
      </w:pPr>
      <w:r>
        <w:t xml:space="preserve">This model acted as a benchmark. If the suboptimality in participants responses reflects unstructured noise, alternative models with additional regressors would increase model complexity but not accuracy.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2" w:name="frequency-prior-model"/>
    <w:p>
      <w:pPr>
        <w:pStyle w:val="Heading4"/>
      </w:pPr>
      <w:r>
        <w:t xml:space="preserve">2.3.2 Frequency prior model</w:t>
      </w:r>
    </w:p>
    <w:p>
      <w:pPr>
        <w:pStyle w:val="FirstParagraph"/>
      </w:pPr>
      <w:r>
        <w:t xml:space="preserve">Alternatively, participants deviations from optimality might reflect a recency bias, whereby participants choice on a given trial is biased towards the most frequenct action in recent history. Several Bayesian account of planning consider that priors consist of a state independent recency bias</w:t>
      </w:r>
      <w:r>
        <w:t xml:space="preserve"> </w:t>
      </w:r>
      <w:r>
        <w:t xml:space="preserve">(Schwöbel et al. 2021, 2024; Kuperwajs and Ma 2021)</w:t>
      </w:r>
      <w:r>
        <w:t xml:space="preserve">. Under the policy compression framework the optimal policy integrates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w:t>
      </w:r>
      <w:r>
        <w:t xml:space="preserve"> </w:t>
      </w:r>
      <w:r>
        <w:rPr>
          <w:b/>
          <w:bCs/>
        </w:rPr>
        <w:t xml:space="preserve">frequency model</w:t>
      </w:r>
      <w:r>
        <w:t xml:space="preserve"> </w:t>
      </w:r>
      <w:r>
        <w:t xml:space="preserve">where participants responses is modelled as a function of DV combined with a recency bias:</w:t>
      </w:r>
    </w:p>
    <w:p>
      <w:pPr>
        <w:pStyle w:val="BodyText"/>
      </w:pPr>
      <w:bookmarkStart w:id="20"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r>
                <m:t>β</m:t>
              </m:r>
              <m:r>
                <m:t>p</m:t>
              </m:r>
              <m:r>
                <m:t>l</m:t>
              </m:r>
              <m:r>
                <m:t>a</m:t>
              </m:r>
              <m:r>
                <m:t>n</m:t>
              </m:r>
              <m:r>
                <m:rPr>
                  <m:sty m:val="p"/>
                </m:rPr>
                <m:t>×</m:t>
              </m:r>
              <m:r>
                <m:t>D</m:t>
              </m:r>
              <m:r>
                <m:t>V</m:t>
              </m:r>
              <m:r>
                <m:rPr>
                  <m:sty m:val="p"/>
                </m:rPr>
                <m:t>+</m:t>
              </m:r>
              <m:r>
                <m:t>β</m:t>
              </m:r>
              <m:r>
                <m:t>p</m:t>
              </m:r>
              <m:r>
                <m:t>r</m:t>
              </m:r>
              <m:r>
                <m:t>i</m:t>
              </m:r>
              <m:r>
                <m:t>o</m:t>
              </m:r>
              <m:r>
                <m:t>r</m:t>
              </m:r>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 Supplementary 1 for exploration of the fit at different</w:t>
      </w:r>
      <w:r>
        <w:t xml:space="preserve"> </w:t>
      </w:r>
      <m:oMath>
        <m:r>
          <m:t>k</m:t>
        </m:r>
      </m:oMath>
      <w:r>
        <w:t xml:space="preserve"> </w:t>
      </w:r>
      <w:r>
        <w:t xml:space="preserve">as well as using an exponential decay kernel):</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Start w:id="24" w:name="context-model"/>
    <w:p>
      <w:pPr>
        <w:pStyle w:val="Heading4"/>
      </w:pPr>
      <w:r>
        <w:t xml:space="preserve">2.3.3 Context model</w:t>
      </w:r>
    </w:p>
    <w:p>
      <w:pPr>
        <w:pStyle w:val="FirstParagraph"/>
      </w:pPr>
      <w:r>
        <w:t xml:space="preserve">In addition, we used the best-fitting model from</w:t>
      </w:r>
      <w:r>
        <w:t xml:space="preserve"> </w:t>
      </w:r>
      <w:r>
        <w:t xml:space="preserve">Ott et al. (2022a)</w:t>
      </w:r>
      <w:r>
        <w:t xml:space="preserve">, to test whether participants treats groups of states as separate contexts in which they plan to different extents, which we refer to as the</w:t>
      </w:r>
      <w:r>
        <w:t xml:space="preserve"> </w:t>
      </w:r>
      <w:r>
        <w:rPr>
          <w:b/>
          <w:bCs/>
        </w:rPr>
        <w:t xml:space="preserve">context model</w:t>
      </w:r>
      <w:r>
        <w:t xml:space="preserve">. In this model, the planning component (DV) is split between extreme and intermediate offers (offers [1, 4] and [2, 3] respectively) to reflect the fact that participants treat those as separate contexts, with different control requirements. In addition, the model comprise offer specific and energy related flexible biases regressors:</w:t>
      </w:r>
    </w:p>
    <w:p>
      <w:pPr>
        <w:pStyle w:val="BodyText"/>
      </w:pPr>
      <w:bookmarkStart w:id="23" w:name="eq-context-model"/>
      <m:oMathPara>
        <m:oMathParaPr>
          <m:jc m:val="center"/>
        </m:oMathParaPr>
        <m:oMath>
          <m:eqArr>
            <m:e>
              <m:sSub>
                <m:e>
                  <m:r>
                    <m:t>η</m:t>
                  </m:r>
                </m:e>
                <m:sub>
                  <m:r>
                    <m:t>c</m:t>
                  </m:r>
                  <m:r>
                    <m:t>o</m:t>
                  </m:r>
                  <m:r>
                    <m:t>n</m:t>
                  </m:r>
                  <m:r>
                    <m:t>t</m:t>
                  </m:r>
                  <m:r>
                    <m:t>e</m:t>
                  </m:r>
                  <m:r>
                    <m:t>x</m:t>
                  </m:r>
                  <m:r>
                    <m:t>t</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m:oMath>
        <m:r>
          <m:rPr>
            <m:sty m:val="b"/>
          </m:rPr>
          <m:t>I</m:t>
        </m:r>
      </m:oMath>
      <w:r>
        <w:t xml:space="preserve"> </w:t>
      </w:r>
      <w:r>
        <w:t xml:space="preserve">indicate dummy regressor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m</m:t>
            </m:r>
            <m:r>
              <m:t>i</m:t>
            </m:r>
            <m:r>
              <m:t>n</m:t>
            </m:r>
            <m:sSub>
              <m:e>
                <m:r>
                  <m:t>E</m:t>
                </m:r>
              </m:e>
              <m:sub>
                <m:r>
                  <m:t>O</m:t>
                </m:r>
                <m:r>
                  <m:t>1</m:t>
                </m:r>
                <m:r>
                  <m:rPr>
                    <m:sty m:val="p"/>
                  </m:rPr>
                  <m:t>−</m:t>
                </m:r>
                <m:r>
                  <m:t>4</m:t>
                </m:r>
              </m:sub>
            </m:sSub>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4"/>
    <w:bookmarkStart w:id="27" w:name="preferences-model"/>
    <w:p>
      <w:pPr>
        <w:pStyle w:val="Heading4"/>
      </w:pPr>
      <w:r>
        <w:t xml:space="preserve">2.3.4 Preferences model</w:t>
      </w:r>
    </w:p>
    <w:p>
      <w:pPr>
        <w:pStyle w:val="FirstParagraph"/>
      </w:pPr>
      <w:r>
        <w:t xml:space="preserve">Finally, to test the hypothesis that participants’ behaviour reflect the integration between forward planning and task-structure dependent preferences, we modelled participants responses using a preference model, modeling responses using a planning component, a state dependent preference component, as well as a modulation parameter capturing how much planning depends on uncertainty in participants preferences. A key distinction with the frequency model is that the participants deviation from optimality reflect state dependent preferences rather than state independent recency effects. Specifically, this model assumes that participants have factorized preferences associated with independent features of the task (offer, costs, energy) which are then linearly combined for each state, resulting in a state dependent composite preference score. Participant’s responses is modelled as a function of planning, the composite preferences score, and the relationship between the entropy of participants preferences (i.e. preferences uncertainty) and planning, to test the prediction that participants rely more on planning when preferences are weak:</w:t>
      </w:r>
    </w:p>
    <w:p>
      <w:pPr>
        <w:pStyle w:val="BodyText"/>
      </w:pPr>
      <w:bookmarkStart w:id="25" w:name="eq-preference_model"/>
      <m:oMathPara>
        <m:oMathParaPr>
          <m:jc m:val="center"/>
        </m:oMathParaPr>
        <m:oMath>
          <m:eqArr>
            <m:e>
              <m:sSub>
                <m:e>
                  <m:r>
                    <m:t>η</m:t>
                  </m:r>
                </m:e>
                <m:sub>
                  <m:r>
                    <m:t>p</m:t>
                  </m:r>
                  <m:r>
                    <m:t>r</m:t>
                  </m:r>
                  <m:r>
                    <m:t>e</m:t>
                  </m:r>
                  <m:r>
                    <m:t>f</m:t>
                  </m:r>
                  <m:r>
                    <m:t>e</m:t>
                  </m:r>
                  <m:r>
                    <m:t>r</m:t>
                  </m:r>
                  <m:r>
                    <m:t>e</m:t>
                  </m:r>
                  <m:r>
                    <m:t>n</m:t>
                  </m:r>
                  <m:r>
                    <m:t>c</m:t>
                  </m:r>
                  <m:r>
                    <m:t>e</m:t>
                  </m:r>
                  <m:r>
                    <m:t>s</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t>e</m:t>
              </m:r>
              <m:r>
                <m:t>r</m:t>
              </m:r>
              <m:r>
                <m:t>e</m:t>
              </m:r>
              <m:r>
                <m:t>n</m:t>
              </m:r>
              <m:r>
                <m:t>c</m:t>
              </m:r>
              <m:r>
                <m:t>e</m:t>
              </m:r>
              <m:r>
                <m:t>s</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D</m:t>
              </m:r>
              <m:r>
                <m:t>V</m:t>
              </m:r>
              <m:r>
                <m:rPr>
                  <m:sty m:val="p"/>
                </m:rPr>
                <m:t>)</m:t>
              </m:r>
            </m:e>
          </m:eqArr>
          <m:r>
            <m:t>  </m:t>
          </m:r>
          <m:r>
            <m:rPr>
              <m:sty m:val="p"/>
            </m:rPr>
            <m:t>(</m:t>
          </m:r>
          <m:r>
            <m:t>6</m:t>
          </m:r>
          <m:r>
            <m:rPr>
              <m:sty m:val="p"/>
            </m:rPr>
            <m:t>)</m:t>
          </m:r>
        </m:oMath>
      </m:oMathPara>
      <w:bookmarkEnd w:id="25"/>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t>e</m:t>
                </m:r>
                <m:r>
                  <m:t>r</m:t>
                </m:r>
                <m:r>
                  <m:t>e</m:t>
                </m:r>
                <m:r>
                  <m:t>n</m:t>
                </m:r>
                <m:r>
                  <m:t>c</m:t>
                </m:r>
                <m:r>
                  <m:t>e</m:t>
                </m:r>
                <m:r>
                  <m:t>s</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p>
    <w:p>
      <w:pPr>
        <w:pStyle w:val="BodyText"/>
      </w:pPr>
      <w:bookmarkStart w:id="26"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t>e</m:t>
                </m:r>
                <m:r>
                  <m:t>r</m:t>
                </m:r>
                <m:r>
                  <m:t>e</m:t>
                </m:r>
                <m:r>
                  <m:t>n</m:t>
                </m:r>
                <m:r>
                  <m:t>c</m:t>
                </m:r>
                <m:r>
                  <m:t>e</m:t>
                </m:r>
                <m:r>
                  <m:t>s</m:t>
                </m:r>
                <m:r>
                  <m:rPr>
                    <m:sty m:val="p"/>
                  </m:rPr>
                  <m:t>)</m:t>
                </m:r>
                <m:r>
                  <m:rPr>
                    <m:sty m:val="p"/>
                  </m:rPr>
                  <m:t>=</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t>l</m:t>
                </m:r>
                <m:r>
                  <m:t>o</m:t>
                </m:r>
                <m:r>
                  <m:t>g</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rPr>
                    <m:sty m:val="p"/>
                  </m:rPr>
                  <m:t>−</m:t>
                </m:r>
                <m:r>
                  <m:rPr>
                    <m:sty m:val="p"/>
                  </m:rPr>
                  <m:t>(</m:t>
                </m:r>
                <m:r>
                  <m:t>1</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rPr>
                    <m:sty m:val="p"/>
                  </m:rPr>
                  <m:t>*</m:t>
                </m:r>
                <m:r>
                  <m:t>l</m:t>
                </m:r>
                <m:r>
                  <m:t>o</m:t>
                </m:r>
                <m:r>
                  <m:t>g</m:t>
                </m:r>
                <m:r>
                  <m:rPr>
                    <m:sty m:val="p"/>
                  </m:rPr>
                  <m:t>(</m:t>
                </m:r>
                <m:r>
                  <m:t>1</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e>
            </m:mr>
          </m:m>
          <m:r>
            <m:t>  </m:t>
          </m:r>
          <m:r>
            <m:rPr>
              <m:sty m:val="p"/>
            </m:rPr>
            <m:t>(</m:t>
          </m:r>
          <m:r>
            <m:t>7</m:t>
          </m:r>
          <m:r>
            <m:rPr>
              <m:sty m:val="p"/>
            </m:rPr>
            <m:t>)</m:t>
          </m:r>
        </m:oMath>
      </m:oMathPara>
      <w:bookmarkEnd w:id="26"/>
    </w:p>
    <w:p>
      <w:pPr>
        <w:pStyle w:val="FirstParagraph"/>
      </w:pPr>
      <w:r>
        <w:t xml:space="preserve">Participants features dependent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design (energy, offer, current and future costs), and the</w:t>
      </w:r>
      <w:r>
        <w:t xml:space="preserve"> </w:t>
      </w:r>
      <m:oMath>
        <m:r>
          <m:rPr>
            <m:sty m:val="b"/>
          </m:rPr>
          <m:t>β</m:t>
        </m:r>
      </m:oMath>
      <w:r>
        <w:t xml:space="preserve"> </w:t>
      </w:r>
      <w:r>
        <w:t xml:space="preserve">is a vector of weights estimated for each levels of each factors of the experimental design.</w:t>
      </w:r>
      <w:r>
        <w:t xml:space="preserve"> </w:t>
      </w:r>
      <m:oMath>
        <m:r>
          <m:t>H</m:t>
        </m:r>
        <m:r>
          <m:rPr>
            <m:sty m:val="p"/>
          </m:rPr>
          <m:t>(</m:t>
        </m:r>
        <m:r>
          <m:t>P</m:t>
        </m:r>
        <m:r>
          <m:t>r</m:t>
        </m:r>
        <m:r>
          <m:t>e</m:t>
        </m:r>
        <m:r>
          <m:t>f</m:t>
        </m:r>
        <m:r>
          <m:t>e</m:t>
        </m:r>
        <m:r>
          <m:t>r</m:t>
        </m:r>
        <m:r>
          <m:t>e</m:t>
        </m:r>
        <m:r>
          <m:t>n</m:t>
        </m:r>
        <m:r>
          <m:t>c</m:t>
        </m:r>
        <m:r>
          <m:t>e</m:t>
        </m:r>
        <m:r>
          <m:rPr>
            <m:sty m:val="p"/>
          </m:rPr>
          <m:t>)</m:t>
        </m:r>
      </m:oMath>
      <w:r>
        <w:t xml:space="preserve"> </w:t>
      </w:r>
      <w:r>
        <w:t xml:space="preserve">is the entropy of the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7"/>
    <w:bookmarkEnd w:id="28"/>
    <w:bookmarkStart w:id="29" w:name="model-fitting-and-comparison"/>
    <w:p>
      <w:pPr>
        <w:pStyle w:val="Heading3"/>
      </w:pPr>
      <w:r>
        <w:t xml:space="preserve">2.4 Model fitting and comparison</w:t>
      </w:r>
    </w:p>
    <w:p>
      <w:pPr>
        <w:pStyle w:val="FirstParagraph"/>
      </w:pPr>
      <w:r>
        <w:t xml:space="preserve">Models were fitted to participants’ responses data as Bayesian hierarchical logistic regressions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reaction time (RT) exceeded the response window (5s) or didn’t provide a response. Across models, the following parameters were left to vary across participants (i.e. random slopes):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3000 sample each (1000 warmups), resulting in 8000 samples in total.</w:t>
      </w:r>
    </w:p>
    <w:p>
      <w:pPr>
        <w:pStyle w:val="BodyText"/>
      </w:pPr>
      <w:r>
        <w:t xml:space="preserve">We used Pareto-smoothed importance sampling to approximate leave one out cross validation</w:t>
      </w:r>
      <w:r>
        <w:t xml:space="preserve"> </w:t>
      </w:r>
      <w:r>
        <w:t xml:space="preserve">(PSIS-LOO, Vehtari et al. 2017)</w:t>
      </w:r>
      <w:r>
        <w:t xml:space="preserve"> </w:t>
      </w:r>
      <w:r>
        <w:t xml:space="preserve">to estimate the expected log pointwise predictive density (elpd) which we used to compare the fit of these different models. Furthermore, we perform model comparison within each single subject to estimate the robustness of the winning model in our population sample, by computing the sum of the pointwise predictive accuracy for each participant and model, yielding a score for each participant and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rank</w:t>
            </w:r>
          </w:p>
        </w:tc>
        <w:tc>
          <w:tcPr/>
          <w:p>
            <w:pPr>
              <w:pStyle w:val="Compact"/>
            </w:pPr>
            <w:r>
              <w:t xml:space="preserve">elpd_loo</w:t>
            </w:r>
          </w:p>
        </w:tc>
        <w:tc>
          <w:tcPr/>
          <w:p>
            <w:pPr>
              <w:pStyle w:val="Compact"/>
            </w:pPr>
            <w:r>
              <w:t xml:space="preserve">p_loo</w:t>
            </w:r>
          </w:p>
        </w:tc>
        <w:tc>
          <w:tcPr/>
          <w:p>
            <w:pPr>
              <w:pStyle w:val="Compact"/>
            </w:pPr>
            <w:r>
              <w:t xml:space="preserve">elpd_diff</w:t>
            </w:r>
          </w:p>
        </w:tc>
        <w:tc>
          <w:tcPr/>
          <w:p>
            <w:pPr>
              <w:pStyle w:val="Compact"/>
            </w:pPr>
            <w:r>
              <w:t xml:space="preserve">weight</w:t>
            </w:r>
          </w:p>
        </w:tc>
        <w:tc>
          <w:tcPr/>
          <w:p>
            <w:pPr>
              <w:pStyle w:val="Compact"/>
            </w:pPr>
            <w:r>
              <w:t xml:space="preserve">se</w:t>
            </w:r>
          </w:p>
        </w:tc>
        <w:tc>
          <w:tcPr/>
          <w:p>
            <w:pPr>
              <w:pStyle w:val="Compact"/>
            </w:pPr>
            <w:r>
              <w:t xml:space="preserve">dse</w:t>
            </w:r>
          </w:p>
        </w:tc>
        <w:tc>
          <w:tcPr/>
          <w:p>
            <w:pPr>
              <w:pStyle w:val="Compact"/>
            </w:pPr>
            <w:r>
              <w:t xml:space="preserve">warning</w:t>
            </w:r>
          </w:p>
        </w:tc>
        <w:tc>
          <w:tcPr/>
          <w:p>
            <w:pPr>
              <w:pStyle w:val="Compact"/>
            </w:pPr>
            <w:r>
              <w:t xml:space="preserve">scale</w:t>
            </w:r>
          </w:p>
        </w:tc>
      </w:tr>
      <w:tr>
        <w:tc>
          <w:tcPr/>
          <w:p>
            <w:pPr>
              <w:pStyle w:val="Compact"/>
            </w:pPr>
            <w:r>
              <w:t xml:space="preserve">Preference</w:t>
            </w:r>
          </w:p>
        </w:tc>
        <w:tc>
          <w:tcPr/>
          <w:p>
            <w:pPr>
              <w:pStyle w:val="Compact"/>
            </w:pPr>
            <w:r>
              <w:t xml:space="preserve">0</w:t>
            </w:r>
          </w:p>
        </w:tc>
        <w:tc>
          <w:tcPr/>
          <w:p>
            <w:pPr>
              <w:pStyle w:val="Compact"/>
            </w:pPr>
            <w:r>
              <w:t xml:space="preserve">-1491.091155</w:t>
            </w:r>
          </w:p>
        </w:tc>
        <w:tc>
          <w:tcPr/>
          <w:p>
            <w:pPr>
              <w:pStyle w:val="Compact"/>
            </w:pPr>
            <w:r>
              <w:t xml:space="preserve">253.490122</w:t>
            </w:r>
          </w:p>
        </w:tc>
        <w:tc>
          <w:tcPr/>
          <w:p>
            <w:pPr>
              <w:pStyle w:val="Compact"/>
            </w:pPr>
            <w:r>
              <w:t xml:space="preserve">0.000000</w:t>
            </w:r>
          </w:p>
        </w:tc>
        <w:tc>
          <w:tcPr/>
          <w:p>
            <w:pPr>
              <w:pStyle w:val="Compact"/>
            </w:pPr>
            <w:r>
              <w:t xml:space="preserve">0.965445</w:t>
            </w:r>
          </w:p>
        </w:tc>
        <w:tc>
          <w:tcPr/>
          <w:p>
            <w:pPr>
              <w:pStyle w:val="Compact"/>
            </w:pPr>
            <w:r>
              <w:t xml:space="preserve">48.615646</w:t>
            </w:r>
          </w:p>
        </w:tc>
        <w:tc>
          <w:tcPr/>
          <w:p>
            <w:pPr>
              <w:pStyle w:val="Compact"/>
            </w:pPr>
            <w:r>
              <w:t xml:space="preserve">0.000000</w:t>
            </w:r>
          </w:p>
        </w:tc>
        <w:tc>
          <w:tcPr/>
          <w:p>
            <w:pPr>
              <w:pStyle w:val="Compact"/>
            </w:pPr>
            <w:r>
              <w:t xml:space="preserve">True</w:t>
            </w:r>
          </w:p>
        </w:tc>
        <w:tc>
          <w:tcPr/>
          <w:p>
            <w:pPr>
              <w:pStyle w:val="Compact"/>
            </w:pPr>
            <w:r>
              <w:t xml:space="preserve">log</w:t>
            </w:r>
          </w:p>
        </w:tc>
      </w:tr>
      <w:tr>
        <w:tc>
          <w:tcPr/>
          <w:p>
            <w:pPr>
              <w:pStyle w:val="Compact"/>
            </w:pPr>
            <w:r>
              <w:t xml:space="preserve">Context</w:t>
            </w:r>
          </w:p>
        </w:tc>
        <w:tc>
          <w:tcPr/>
          <w:p>
            <w:pPr>
              <w:pStyle w:val="Compact"/>
            </w:pPr>
            <w:r>
              <w:t xml:space="preserve">1</w:t>
            </w:r>
          </w:p>
        </w:tc>
        <w:tc>
          <w:tcPr/>
          <w:p>
            <w:pPr>
              <w:pStyle w:val="Compact"/>
            </w:pPr>
            <w:r>
              <w:t xml:space="preserve">-1657.637631</w:t>
            </w:r>
          </w:p>
        </w:tc>
        <w:tc>
          <w:tcPr/>
          <w:p>
            <w:pPr>
              <w:pStyle w:val="Compact"/>
            </w:pPr>
            <w:r>
              <w:t xml:space="preserve">160.489145</w:t>
            </w:r>
          </w:p>
        </w:tc>
        <w:tc>
          <w:tcPr/>
          <w:p>
            <w:pPr>
              <w:pStyle w:val="Compact"/>
            </w:pPr>
            <w:r>
              <w:t xml:space="preserve">166.546476</w:t>
            </w:r>
          </w:p>
        </w:tc>
        <w:tc>
          <w:tcPr/>
          <w:p>
            <w:pPr>
              <w:pStyle w:val="Compact"/>
            </w:pPr>
            <w:r>
              <w:t xml:space="preserve">0.021726</w:t>
            </w:r>
          </w:p>
        </w:tc>
        <w:tc>
          <w:tcPr/>
          <w:p>
            <w:pPr>
              <w:pStyle w:val="Compact"/>
            </w:pPr>
            <w:r>
              <w:t xml:space="preserve">52.567672</w:t>
            </w:r>
          </w:p>
        </w:tc>
        <w:tc>
          <w:tcPr/>
          <w:p>
            <w:pPr>
              <w:pStyle w:val="Compact"/>
            </w:pPr>
            <w:r>
              <w:t xml:space="preserve">19.564850</w:t>
            </w:r>
          </w:p>
        </w:tc>
        <w:tc>
          <w:tcPr/>
          <w:p>
            <w:pPr>
              <w:pStyle w:val="Compact"/>
            </w:pPr>
            <w:r>
              <w:t xml:space="preserve">True</w:t>
            </w:r>
          </w:p>
        </w:tc>
        <w:tc>
          <w:tcPr/>
          <w:p>
            <w:pPr>
              <w:pStyle w:val="Compact"/>
            </w:pPr>
            <w:r>
              <w:t xml:space="preserve">log</w:t>
            </w:r>
          </w:p>
        </w:tc>
      </w:tr>
      <w:tr>
        <w:tc>
          <w:tcPr/>
          <w:p>
            <w:pPr>
              <w:pStyle w:val="Compact"/>
            </w:pPr>
            <w:r>
              <w:t xml:space="preserve">Frequency prior</w:t>
            </w:r>
          </w:p>
        </w:tc>
        <w:tc>
          <w:tcPr/>
          <w:p>
            <w:pPr>
              <w:pStyle w:val="Compact"/>
            </w:pPr>
            <w:r>
              <w:t xml:space="preserve">2</w:t>
            </w:r>
          </w:p>
        </w:tc>
        <w:tc>
          <w:tcPr/>
          <w:p>
            <w:pPr>
              <w:pStyle w:val="Compact"/>
            </w:pPr>
            <w:r>
              <w:t xml:space="preserve">-2073.888906</w:t>
            </w:r>
          </w:p>
        </w:tc>
        <w:tc>
          <w:tcPr/>
          <w:p>
            <w:pPr>
              <w:pStyle w:val="Compact"/>
            </w:pPr>
            <w:r>
              <w:t xml:space="preserve">77.715858</w:t>
            </w:r>
          </w:p>
        </w:tc>
        <w:tc>
          <w:tcPr/>
          <w:p>
            <w:pPr>
              <w:pStyle w:val="Compact"/>
            </w:pPr>
            <w:r>
              <w:t xml:space="preserve">582.797751</w:t>
            </w:r>
          </w:p>
        </w:tc>
        <w:tc>
          <w:tcPr/>
          <w:p>
            <w:pPr>
              <w:pStyle w:val="Compact"/>
            </w:pPr>
            <w:r>
              <w:t xml:space="preserve">0.000000</w:t>
            </w:r>
          </w:p>
        </w:tc>
        <w:tc>
          <w:tcPr/>
          <w:p>
            <w:pPr>
              <w:pStyle w:val="Compact"/>
            </w:pPr>
            <w:r>
              <w:t xml:space="preserve">55.631849</w:t>
            </w:r>
          </w:p>
        </w:tc>
        <w:tc>
          <w:tcPr/>
          <w:p>
            <w:pPr>
              <w:pStyle w:val="Compact"/>
            </w:pPr>
            <w:r>
              <w:t xml:space="preserve">35.907683</w:t>
            </w:r>
          </w:p>
        </w:tc>
        <w:tc>
          <w:tcPr/>
          <w:p>
            <w:pPr>
              <w:pStyle w:val="Compact"/>
            </w:pPr>
            <w:r>
              <w:t xml:space="preserve">False</w:t>
            </w:r>
          </w:p>
        </w:tc>
        <w:tc>
          <w:tcPr/>
          <w:p>
            <w:pPr>
              <w:pStyle w:val="Compact"/>
            </w:pPr>
            <w:r>
              <w:t xml:space="preserve">log</w:t>
            </w:r>
          </w:p>
        </w:tc>
      </w:tr>
      <w:tr>
        <w:tc>
          <w:tcPr/>
          <w:p>
            <w:pPr>
              <w:pStyle w:val="Compact"/>
            </w:pPr>
            <w:r>
              <w:t xml:space="preserve">Planning</w:t>
            </w:r>
          </w:p>
        </w:tc>
        <w:tc>
          <w:tcPr/>
          <w:p>
            <w:pPr>
              <w:pStyle w:val="Compact"/>
            </w:pPr>
            <w:r>
              <w:t xml:space="preserve">3</w:t>
            </w:r>
          </w:p>
        </w:tc>
        <w:tc>
          <w:tcPr/>
          <w:p>
            <w:pPr>
              <w:pStyle w:val="Compact"/>
            </w:pPr>
            <w:r>
              <w:t xml:space="preserve">-2078.472463</w:t>
            </w:r>
          </w:p>
        </w:tc>
        <w:tc>
          <w:tcPr/>
          <w:p>
            <w:pPr>
              <w:pStyle w:val="Compact"/>
            </w:pPr>
            <w:r>
              <w:t xml:space="preserve">68.229279</w:t>
            </w:r>
          </w:p>
        </w:tc>
        <w:tc>
          <w:tcPr/>
          <w:p>
            <w:pPr>
              <w:pStyle w:val="Compact"/>
            </w:pPr>
            <w:r>
              <w:t xml:space="preserve">587.381308</w:t>
            </w:r>
          </w:p>
        </w:tc>
        <w:tc>
          <w:tcPr/>
          <w:p>
            <w:pPr>
              <w:pStyle w:val="Compact"/>
            </w:pPr>
            <w:r>
              <w:t xml:space="preserve">0.012829</w:t>
            </w:r>
          </w:p>
        </w:tc>
        <w:tc>
          <w:tcPr/>
          <w:p>
            <w:pPr>
              <w:pStyle w:val="Compact"/>
            </w:pPr>
            <w:r>
              <w:t xml:space="preserve">55.513947</w:t>
            </w:r>
          </w:p>
        </w:tc>
        <w:tc>
          <w:tcPr/>
          <w:p>
            <w:pPr>
              <w:pStyle w:val="Compact"/>
            </w:pPr>
            <w:r>
              <w:t xml:space="preserve">36.031041</w:t>
            </w:r>
          </w:p>
        </w:tc>
        <w:tc>
          <w:tcPr/>
          <w:p>
            <w:pPr>
              <w:pStyle w:val="Compact"/>
            </w:pPr>
            <w:r>
              <w:t xml:space="preserve">True</w:t>
            </w:r>
          </w:p>
        </w:tc>
        <w:tc>
          <w:tcPr/>
          <w:p>
            <w:pPr>
              <w:pStyle w:val="Compact"/>
            </w:pPr>
            <w:r>
              <w:t xml:space="preserve">log</w:t>
            </w:r>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9"/>
    <w:bookmarkStart w:id="30" w:name="experimental-factors-relevance-analysis"/>
    <w:p>
      <w:pPr>
        <w:pStyle w:val="Heading3"/>
      </w:pPr>
      <w:r>
        <w:t xml:space="preserve">2.5 Experimental factors relevance analysis</w:t>
      </w:r>
    </w:p>
    <w:p>
      <w:pPr>
        <w:pStyle w:val="FirstParagraph"/>
      </w:pPr>
      <w:r>
        <w:t xml:space="preserve">The fitted parameters of the preference model indicate that participants responses depend more strongly on certain aspects of the task than others. The regression coefficients associated with offer and energy factors are larger than those associated with costs (see</w:t>
      </w:r>
      <w:r>
        <w:t xml:space="preserve"> </w:t>
      </w:r>
      <w:hyperlink w:anchor="fig-choicemdl">
        <w:r>
          <w:rPr>
            <w:rStyle w:val="Hyperlink"/>
          </w:rPr>
          <w:t xml:space="preserve">Figure 2</w:t>
        </w:r>
      </w:hyperlink>
      <w:r>
        <w:t xml:space="preserve">). To further quantify the the proportion of the fit associated with each factor of the task (offer, energy, current and future costs), we compared the full preference model to reduced models in which we remove the preferences associated with each factors (i.e. removing all regressors associated with offers, energy, current and future costs), one at a time.</w:t>
      </w:r>
    </w:p>
    <w:p>
      <w:pPr>
        <w:pStyle w:val="BodyText"/>
      </w:pPr>
      <w:r>
        <w:t xml:space="preserve">The stronger preferences associated with specific task factors might reflect general biases toward such features (i.e. biases that participants would exhibit in any tasks), due to their relevance in the environment. Such preferences and the specific weighting given to different features should not be particularly adapted to the task and therefore yield poor returns in the absence of planning. Alternatively, the preferences might be specifically adaptive to our task. The increased strong biases associated with energy and offers compared to costs might reflect the difference in reward-sensitivity between task features, meaning that chosing response ignoring reward-insensitive features will lead to no or low return loss compared to ignoring reward sensitive features. Accordingly, the specific features weighting in participants preferences might constitute a cheap and readily available</w:t>
      </w:r>
      <w:r>
        <w:t xml:space="preserve"> </w:t>
      </w:r>
      <w:r>
        <w:t xml:space="preserve">“good enough”</w:t>
      </w:r>
      <w:r>
        <w:t xml:space="preserve"> </w:t>
      </w:r>
      <w:r>
        <w:t xml:space="preserve">policy, such that if participants had to completely forgo planning, they would be able to give a suboptimal yet not completely wrong response.</w:t>
      </w:r>
    </w:p>
    <w:p>
      <w:pPr>
        <w:pStyle w:val="BodyText"/>
      </w:pPr>
      <w:r>
        <w:t xml:space="preserve">To test whether the weighting of task features in participants’s preferences reflects the dominance of certain features in terms of reward maximization, we first investigated the difference in reward sensitivity associated with each task feature. We created reduced MDPs in which a factor is reduced to one level by averaging the transition probability and reward associated with all levels of each factor, simulating a planner ignoring this aspect of the task. We then computed the optimal policy in the reduced MDP and projected it to the full MDP and calculated the expected return of the reduced policy. If participants preferences constitute adaptive biases, we expect those features that the strongest impact on partcipants behavior to lead to the largest loss in return when ignored in planning.</w:t>
      </w:r>
    </w:p>
    <w:p>
      <w:pPr>
        <w:pStyle w:val="BodyText"/>
      </w:pPr>
      <w:r>
        <w:t xml:space="preserve">To further test whether preferences are adaptive to the task, we derived policies from the preference component from the full preference model and from the reduced models (in which each factor was removed from the preference matrix) and computed the expected return under each preference policy relative to the maximal return (return under greedy policy on Q). If preferences reflect adaptive biases to our task, we would expect (1) preference policy derived from the preference component of the full model to yield larger returns compared to a stochastic policy (i.e. equal probability of each action in each state) and (2) removing the factors that have stronger impact on participants’ behaviour to lead to a largest loss in return compared to factors that have a low impact of participants responses.</w:t>
      </w:r>
    </w:p>
    <w:p>
      <w:pPr>
        <w:pStyle w:val="BodyText"/>
      </w:pPr>
      <w:r>
        <w:t xml:space="preserve">To further explore whether participants preferences are adapted to the task, we aimed to compare them to an relevant statisic of the task: the marginal action probability under each feature of the task. In the policy compression framework, the optimal policy under ressources constraints combines planning with a state-independent action prior corresponding to the action probability marginalized across all states</w:t>
      </w:r>
      <w:r>
        <w:t xml:space="preserve"> </w:t>
      </w:r>
      <w:r>
        <w:t xml:space="preserve">(Lai and Gershman 2021)</w:t>
      </w:r>
      <w:r>
        <w:t xml:space="preserve">. In our task, instead of relying on state-independent action priors, participants’ preferences might correspond to the action probability associated with each level of each factor of the task marginalized across all other factors (probability of accepting an offer of 1 across current, future costs and energy levels for example). We computed the marginal action probability for each level of the task under the optimal policy (greedy policy on Q) to compare against the fitted preferences parameters. While this analysis is not sufficient to establish that preferences are derived by marginalizing action probability over each independent factors of the task, similarity between the two would suggest that this is a plausible interpretation.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Start w:id="32" w:name="reaction-times-analysis"/>
    <w:p>
      <w:pPr>
        <w:pStyle w:val="Heading3"/>
      </w:pPr>
      <w:r>
        <w:t xml:space="preserve">2.6 Reaction times analysis</w:t>
      </w:r>
    </w:p>
    <w:p>
      <w:pPr>
        <w:pStyle w:val="FirstParagraph"/>
      </w:pPr>
      <w:r>
        <w:t xml:space="preserve">In our task, exact computation of optimal policy is prohibitively expensive, given the size of our state space, the number of steps to be planned ahead and the highly probabilistic nature of the task. Preferences are presumably readily available to the participants, or require minimal computation. We hypothesized that instead of systematically considering all future outcomes before making a choice, participants consider the strength of their preferences to determine how much they should engage in forward planning. If this is the case, we would expect participants RT to reflect the strength of participants preference, as stronger preferences should be associated with less planning, hence faster RT.</w:t>
      </w:r>
    </w:p>
    <w:p>
      <w:pPr>
        <w:pStyle w:val="BodyText"/>
      </w:pPr>
      <w:r>
        <w:t xml:space="preserve">Previous findings showed that participants RT is faster the larger the value difference between the two actions</w:t>
      </w:r>
      <w:r>
        <w:t xml:space="preserve"> </w:t>
      </w:r>
      <w:r>
        <w:t xml:space="preserve">(Ott et al. 2022a)</w:t>
      </w:r>
      <w:r>
        <w:t xml:space="preserve">, indicating that there is less planning when the value of accepting and rejecting are more clearly distinct. Under our main hypothesis, the effect of decision conflict, defined as the difference in value between the two actions, should be modulated by preferences. When preferences are strong, participants should rely less on planning, reducing the influence of planning-derived value differences on choice and response time. In contrast, when their preferences are weak, they should engage in planning, making their choices and response times more sensitive to planning-derived value differences.</w:t>
      </w:r>
    </w:p>
    <w:p>
      <w:pPr>
        <w:pStyle w:val="BodyText"/>
      </w:pPr>
      <w:r>
        <w:t xml:space="preserve">To test the prediction that the effect of conflict should depend on preferences strength, we modelled participants’ RTs as a function of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preferences entropy (fitted in the preference response choice model) and the interaction between planning and preferences entropy:</w:t>
      </w:r>
    </w:p>
    <w:p>
      <w:pPr>
        <w:pStyle w:val="BodyText"/>
      </w:pPr>
      <w:bookmarkStart w:id="31"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  </m:t>
          </m:r>
          <m:r>
            <m:rPr>
              <m:sty m:val="p"/>
            </m:rPr>
            <m:t>(</m:t>
          </m:r>
          <m:r>
            <m:t>8</m:t>
          </m:r>
          <m:r>
            <m:rPr>
              <m:sty m:val="p"/>
            </m:rPr>
            <m:t>)</m:t>
          </m:r>
        </m:oMath>
      </m:oMathPara>
      <w:bookmarkEnd w:id="31"/>
    </w:p>
    <w:p>
      <w:pPr>
        <w:pStyle w:val="FirstParagraph"/>
      </w:pPr>
      <w:r>
        <w:t xml:space="preserve">We predicted a positive interaction between preferences entropy and planning, which would indicate that the larger the preference entropy (i.e. the weaker the preference), the larger the RT because the larger the reliance on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2"/>
    <w:bookmarkEnd w:id="33"/>
    <w:bookmarkStart w:id="58" w:name="results"/>
    <w:p>
      <w:pPr>
        <w:pStyle w:val="Heading2"/>
      </w:pPr>
      <w:r>
        <w:t xml:space="preserve">3 Results</w:t>
      </w:r>
    </w:p>
    <w:bookmarkStart w:id="47" w:name="choice-behaviour"/>
    <w:p>
      <w:pPr>
        <w:pStyle w:val="Heading3"/>
      </w:pPr>
      <w:r>
        <w:t xml:space="preserve">3.1 Choice behaviour</w:t>
      </w:r>
    </w:p>
    <w:p>
      <w:pPr>
        <w:pStyle w:val="FirstParagraph"/>
      </w:pPr>
      <w:r>
        <w:t xml:space="preserve">We modelled participants response choices using 4 different models, to investigate the systematicity in participants deviations from optimal planning, which would be achieved by pure planning. As already reported in</w:t>
      </w:r>
      <w:r>
        <w:t xml:space="preserve"> </w:t>
      </w:r>
      <w:r>
        <w:t xml:space="preserve">(Ott et al. 2022a)</w:t>
      </w:r>
      <w:r>
        <w:t xml:space="preserve">, participants’ responses systematically deviate from optimality: the pure planning model has the lowest fit compared to the other three models, see</w:t>
      </w:r>
      <w:r>
        <w:t xml:space="preserve"> </w:t>
      </w:r>
      <w:hyperlink w:anchor="fig-choicemdl">
        <w:r>
          <w:rPr>
            <w:rStyle w:val="Hyperlink"/>
          </w:rPr>
          <w:t xml:space="preserve">Figure 2</w:t>
        </w:r>
      </w:hyperlink>
      <w:r>
        <w:t xml:space="preserve"> </w:t>
      </w:r>
      <w:r>
        <w:t xml:space="preserve">A. Furthermore, our results indicate that participants biases do not reflect recency prior (frequency model), nor a splitting of the task into separate contexts (context model). Rather, participants exhibit preferences derived from the structure of the task, as the Preference model was observed to fit the data the best (see</w:t>
      </w:r>
      <w:r>
        <w:t xml:space="preserve"> </w:t>
      </w:r>
      <w:hyperlink w:anchor="fig-choicemdl">
        <w:r>
          <w:rPr>
            <w:rStyle w:val="Hyperlink"/>
          </w:rPr>
          <w:t xml:space="preserve">Figure 2</w:t>
        </w:r>
      </w:hyperlink>
      <w:r>
        <w:t xml:space="preserve"> </w:t>
      </w:r>
      <w:r>
        <w:t xml:space="preserve">A).</w:t>
      </w:r>
    </w:p>
    <w:p>
      <w:pPr>
        <w:pStyle w:val="BodyText"/>
      </w:pPr>
      <w:hyperlink w:anchor="fig-choicemdl">
        <w:r>
          <w:rPr>
            <w:rStyle w:val="Hyperlink"/>
          </w:rPr>
          <w:t xml:space="preserve">Figure 2</w:t>
        </w:r>
      </w:hyperlink>
      <w:r>
        <w:t xml:space="preserve"> </w:t>
      </w:r>
      <w:r>
        <w:t xml:space="preserve">B shows the proportion of match between observed and predicted responses separately for each model and offer values, highlighting the increased fit of the preference model. This increase in fit compared to the context model</w:t>
      </w:r>
      <w:r>
        <w:t xml:space="preserve"> </w:t>
      </w:r>
      <w:r>
        <w:t xml:space="preserve">(which was previously report to fit data best compared to many alternatives Ott et al. 2022a)</w:t>
      </w:r>
      <w:r>
        <w:t xml:space="preserve"> </w:t>
      </w:r>
      <w:r>
        <w:t xml:space="preserve">suggests that participants have distinct preferences for each state feature, which are combined according to the current state’s features to form state-specific preferences. This result is highly consistent across participants: the preference model fits the data best for 35 out of 40 participants (see</w:t>
      </w:r>
      <w:r>
        <w:t xml:space="preserve"> </w:t>
      </w:r>
      <w:hyperlink w:anchor="fig-returns">
        <w:r>
          <w:rPr>
            <w:rStyle w:val="Hyperlink"/>
          </w:rPr>
          <w:t xml:space="preserve">Figure 4</w:t>
        </w:r>
      </w:hyperlink>
      <w:r>
        <w:t xml:space="preserve"> </w:t>
      </w:r>
      <w:r>
        <w:t xml:space="preserve">A).</w:t>
      </w:r>
    </w:p>
    <w:p>
      <w:pPr>
        <w:pStyle w:val="BodyText"/>
      </w:pPr>
      <w:r>
        <w:t xml:space="preserve">The estimated preference weights associated with each factor of the task (</w:t>
      </w:r>
      <w:hyperlink w:anchor="fig-choicemdl">
        <w:r>
          <w:rPr>
            <w:rStyle w:val="Hyperlink"/>
          </w:rPr>
          <w:t xml:space="preserve">Figure 2</w:t>
        </w:r>
      </w:hyperlink>
      <w:r>
        <w:t xml:space="preserve"> </w:t>
      </w:r>
      <w:r>
        <w:t xml:space="preserve">C) reveal that participants tend to be biased towards rejecting (i.e. reject offers more often than forward planning would suggest) for low (one and two), while they are biased towards accepting when offers are high (three and four). These deviations are more pronounced for extreme (one and four) compared to intermediate ones (two and three). Furthermore, the energy state has a strong impact on participants’ behaviour, especially in extreme cases (no or maxed out energy). Finally, costs (both current and future) has a lower impact on participants’ behaviour, with a slight bias to accept offers when costs (both current and future)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7" w:name="fig-choicemdl"/>
          <w:p>
            <w:pPr>
              <w:pStyle w:val="Compact"/>
              <w:jc w:val="center"/>
            </w:pPr>
            <w:r>
              <w:drawing>
                <wp:inline>
                  <wp:extent cx="5334000" cy="5765170"/>
                  <wp:effectExtent b="0" l="0" r="0" t="0"/>
                  <wp:docPr descr="" title="" id="35" name="Picture"/>
                  <a:graphic>
                    <a:graphicData uri="http://schemas.openxmlformats.org/drawingml/2006/picture">
                      <pic:pic>
                        <pic:nvPicPr>
                          <pic:cNvPr descr="index_files/figure-docx/fig-choicemdl-output-1.png" id="36" name="Picture"/>
                          <pic:cNvPicPr>
                            <a:picLocks noChangeArrowheads="1" noChangeAspect="1"/>
                          </pic:cNvPicPr>
                        </pic:nvPicPr>
                        <pic:blipFill>
                          <a:blip r:embed="rId34"/>
                          <a:stretch>
                            <a:fillRect/>
                          </a:stretch>
                        </pic:blipFill>
                        <pic:spPr bwMode="auto">
                          <a:xfrm>
                            <a:off x="0" y="0"/>
                            <a:ext cx="5334000" cy="57651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(B) Observed and fitted probability of accepting the offer separately for each offer by each of the models. The single dots represent the average acceptance probability for each subject. (C) Fitted preference parameters of the preference model. Top left figure depicts the parameters associated with offer parameters, top right associated with each cost, bottom with each energy level. The bar in the middle of each distribution is the median and the dotted lines represent the 2.5 and 97.5% quantiles. The dots represent the mean of the parameter estimated for each participant</w:t>
            </w:r>
          </w:p>
          <w:bookmarkEnd w:id="3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8" w:name="tbl-pref_model_param"/>
          <w:p>
            <w:pPr>
              <w:jc w:val="center"/>
            </w:pPr>
            <w:pPr>
              <w:jc w:val="left"/>
              <w:spacing w:before="200"/>
              <w:pStyle w:val="ImageCaption"/>
            </w:pPr>
            <w:r>
              <w:t xml:space="preserve">Table 1: 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2.095</w:t>
                  </w:r>
                </w:p>
              </w:tc>
              <w:tc>
                <w:tcPr/>
                <w:p>
                  <w:pPr>
                    <w:pStyle w:val="Compact"/>
                    <w:jc w:val="right"/>
                    <w:jc w:val="center"/>
                  </w:pPr>
                  <w:r>
                    <w:t xml:space="preserve">0.243</w:t>
                  </w:r>
                </w:p>
              </w:tc>
              <w:tc>
                <w:tcPr/>
                <w:p>
                  <w:pPr>
                    <w:pStyle w:val="Compact"/>
                    <w:jc w:val="right"/>
                    <w:jc w:val="center"/>
                  </w:pPr>
                  <w:r>
                    <w:t xml:space="preserve">1.629</w:t>
                  </w:r>
                </w:p>
              </w:tc>
              <w:tc>
                <w:tcPr/>
                <w:p>
                  <w:pPr>
                    <w:pStyle w:val="Compact"/>
                    <w:jc w:val="right"/>
                    <w:jc w:val="center"/>
                  </w:pPr>
                  <w:r>
                    <w:t xml:space="preserve">2.582</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-2.395</w:t>
                  </w:r>
                </w:p>
              </w:tc>
              <w:tc>
                <w:tcPr/>
                <w:p>
                  <w:pPr>
                    <w:pStyle w:val="Compact"/>
                    <w:jc w:val="right"/>
                    <w:jc w:val="center"/>
                  </w:pPr>
                  <w:r>
                    <w:t xml:space="preserve">0.958</w:t>
                  </w:r>
                </w:p>
              </w:tc>
              <w:tc>
                <w:tcPr/>
                <w:p>
                  <w:pPr>
                    <w:pStyle w:val="Compact"/>
                    <w:jc w:val="right"/>
                    <w:jc w:val="center"/>
                  </w:pPr>
                  <w:r>
                    <w:t xml:space="preserve">-4.361</w:t>
                  </w:r>
                </w:p>
              </w:tc>
              <w:tc>
                <w:tcPr/>
                <w:p>
                  <w:pPr>
                    <w:pStyle w:val="Compact"/>
                    <w:jc w:val="right"/>
                    <w:jc w:val="center"/>
                  </w:pPr>
                  <w:r>
                    <w:t xml:space="preserve">-0.605</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-1.613</w:t>
                  </w:r>
                </w:p>
              </w:tc>
              <w:tc>
                <w:tcPr/>
                <w:p>
                  <w:pPr>
                    <w:pStyle w:val="Compact"/>
                    <w:jc w:val="right"/>
                    <w:jc w:val="center"/>
                  </w:pPr>
                  <w:r>
                    <w:t xml:space="preserve">0.935</w:t>
                  </w:r>
                </w:p>
              </w:tc>
              <w:tc>
                <w:tcPr/>
                <w:p>
                  <w:pPr>
                    <w:pStyle w:val="Compact"/>
                    <w:jc w:val="right"/>
                    <w:jc w:val="center"/>
                  </w:pPr>
                  <w:r>
                    <w:t xml:space="preserve">-3.405</w:t>
                  </w:r>
                </w:p>
              </w:tc>
              <w:tc>
                <w:tcPr/>
                <w:p>
                  <w:pPr>
                    <w:pStyle w:val="Compact"/>
                    <w:jc w:val="right"/>
                    <w:jc w:val="center"/>
                  </w:pPr>
                  <w:r>
                    <w:t xml:space="preserve">0.178</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1.662</w:t>
                  </w:r>
                </w:p>
              </w:tc>
              <w:tc>
                <w:tcPr/>
                <w:p>
                  <w:pPr>
                    <w:pStyle w:val="Compact"/>
                    <w:jc w:val="right"/>
                    <w:jc w:val="center"/>
                  </w:pPr>
                  <w:r>
                    <w:t xml:space="preserve">0.921</w:t>
                  </w:r>
                </w:p>
              </w:tc>
              <w:tc>
                <w:tcPr/>
                <w:p>
                  <w:pPr>
                    <w:pStyle w:val="Compact"/>
                    <w:jc w:val="right"/>
                    <w:jc w:val="center"/>
                  </w:pPr>
                  <w:r>
                    <w:t xml:space="preserve">-0.152</w:t>
                  </w:r>
                </w:p>
              </w:tc>
              <w:tc>
                <w:tcPr/>
                <w:p>
                  <w:pPr>
                    <w:pStyle w:val="Compact"/>
                    <w:jc w:val="right"/>
                    <w:jc w:val="center"/>
                  </w:pPr>
                  <w:r>
                    <w:t xml:space="preserve">3.405</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2.968</w:t>
                  </w:r>
                </w:p>
              </w:tc>
              <w:tc>
                <w:tcPr/>
                <w:p>
                  <w:pPr>
                    <w:pStyle w:val="Compact"/>
                    <w:jc w:val="right"/>
                    <w:jc w:val="center"/>
                  </w:pPr>
                  <w:r>
                    <w:t xml:space="preserve">0.96</w:t>
                  </w:r>
                </w:p>
              </w:tc>
              <w:tc>
                <w:tcPr/>
                <w:p>
                  <w:pPr>
                    <w:pStyle w:val="Compact"/>
                    <w:jc w:val="right"/>
                    <w:jc w:val="center"/>
                  </w:pPr>
                  <w:r>
                    <w:t xml:space="preserve">1.235</w:t>
                  </w:r>
                </w:p>
              </w:tc>
              <w:tc>
                <w:tcPr/>
                <w:p>
                  <w:pPr>
                    <w:pStyle w:val="Compact"/>
                    <w:jc w:val="right"/>
                    <w:jc w:val="center"/>
                  </w:pPr>
                  <w:r>
                    <w:t xml:space="preserve">4.975</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0.733</w:t>
                  </w:r>
                </w:p>
              </w:tc>
              <w:tc>
                <w:tcPr/>
                <w:p>
                  <w:pPr>
                    <w:pStyle w:val="Compact"/>
                    <w:jc w:val="right"/>
                    <w:jc w:val="center"/>
                  </w:pPr>
                  <w:r>
                    <w:t xml:space="preserve">1.146</w:t>
                  </w:r>
                </w:p>
              </w:tc>
              <w:tc>
                <w:tcPr/>
                <w:p>
                  <w:pPr>
                    <w:pStyle w:val="Compact"/>
                    <w:jc w:val="right"/>
                    <w:jc w:val="center"/>
                  </w:pPr>
                  <w:r>
                    <w:t xml:space="preserve">-1.549</w:t>
                  </w:r>
                </w:p>
              </w:tc>
              <w:tc>
                <w:tcPr/>
                <w:p>
                  <w:pPr>
                    <w:pStyle w:val="Compact"/>
                    <w:jc w:val="right"/>
                    <w:jc w:val="center"/>
                  </w:pPr>
                  <w:r>
                    <w:t xml:space="preserve">2.81</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-0.181</w:t>
                  </w:r>
                </w:p>
              </w:tc>
              <w:tc>
                <w:tcPr/>
                <w:p>
                  <w:pPr>
                    <w:pStyle w:val="Compact"/>
                    <w:jc w:val="right"/>
                    <w:jc w:val="center"/>
                  </w:pPr>
                  <w:r>
                    <w:t xml:space="preserve">1.146</w:t>
                  </w:r>
                </w:p>
              </w:tc>
              <w:tc>
                <w:tcPr/>
                <w:p>
                  <w:pPr>
                    <w:pStyle w:val="Compact"/>
                    <w:jc w:val="right"/>
                    <w:jc w:val="center"/>
                  </w:pPr>
                  <w:r>
                    <w:t xml:space="preserve">-2.402</w:t>
                  </w:r>
                </w:p>
              </w:tc>
              <w:tc>
                <w:tcPr/>
                <w:p>
                  <w:pPr>
                    <w:pStyle w:val="Compact"/>
                    <w:jc w:val="right"/>
                    <w:jc w:val="center"/>
                  </w:pPr>
                  <w:r>
                    <w:t xml:space="preserve">2.022</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0.443</w:t>
                  </w:r>
                </w:p>
              </w:tc>
              <w:tc>
                <w:tcPr/>
                <w:p>
                  <w:pPr>
                    <w:pStyle w:val="Compact"/>
                    <w:jc w:val="right"/>
                    <w:jc w:val="center"/>
                  </w:pPr>
                  <w:r>
                    <w:t xml:space="preserve">1.165</w:t>
                  </w:r>
                </w:p>
              </w:tc>
              <w:tc>
                <w:tcPr/>
                <w:p>
                  <w:pPr>
                    <w:pStyle w:val="Compact"/>
                    <w:jc w:val="right"/>
                    <w:jc w:val="center"/>
                  </w:pPr>
                  <w:r>
                    <w:t xml:space="preserve">-1.882</w:t>
                  </w:r>
                </w:p>
              </w:tc>
              <w:tc>
                <w:tcPr/>
                <w:p>
                  <w:pPr>
                    <w:pStyle w:val="Compact"/>
                    <w:jc w:val="right"/>
                    <w:jc w:val="center"/>
                  </w:pPr>
                  <w:r>
                    <w:t xml:space="preserve">2.77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w:t>
                  </w:r>
                </w:p>
              </w:tc>
              <w:tc>
                <w:tcPr/>
                <w:p>
                  <w:pPr>
                    <w:pStyle w:val="Compact"/>
                    <w:jc w:val="right"/>
                    <w:jc w:val="center"/>
                  </w:pPr>
                  <w:r>
                    <w:t xml:space="preserve">1.166</w:t>
                  </w:r>
                </w:p>
              </w:tc>
              <w:tc>
                <w:tcPr/>
                <w:p>
                  <w:pPr>
                    <w:pStyle w:val="Compact"/>
                    <w:jc w:val="right"/>
                    <w:jc w:val="center"/>
                  </w:pPr>
                  <w:r>
                    <w:t xml:space="preserve">-2.045</w:t>
                  </w:r>
                </w:p>
              </w:tc>
              <w:tc>
                <w:tcPr/>
                <w:p>
                  <w:pPr>
                    <w:pStyle w:val="Compact"/>
                    <w:jc w:val="right"/>
                    <w:jc w:val="center"/>
                  </w:pPr>
                  <w:r>
                    <w:t xml:space="preserve">2.609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-4.472</w:t>
                  </w:r>
                </w:p>
              </w:tc>
              <w:tc>
                <w:tcPr/>
                <w:p>
                  <w:pPr>
                    <w:pStyle w:val="Compact"/>
                    <w:jc w:val="right"/>
                    <w:jc w:val="center"/>
                  </w:pPr>
                  <w:r>
                    <w:t xml:space="preserve">0.952</w:t>
                  </w:r>
                </w:p>
              </w:tc>
              <w:tc>
                <w:tcPr/>
                <w:p>
                  <w:pPr>
                    <w:pStyle w:val="Compact"/>
                    <w:jc w:val="right"/>
                    <w:jc w:val="center"/>
                  </w:pPr>
                  <w:r>
                    <w:t xml:space="preserve">-6.255</w:t>
                  </w:r>
                </w:p>
              </w:tc>
              <w:tc>
                <w:tcPr/>
                <w:p>
                  <w:pPr>
                    <w:pStyle w:val="Compact"/>
                    <w:jc w:val="right"/>
                    <w:jc w:val="center"/>
                  </w:pPr>
                  <w:r>
                    <w:t xml:space="preserve">-2.558</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-0.467</w:t>
                  </w:r>
                </w:p>
              </w:tc>
              <w:tc>
                <w:tcPr/>
                <w:p>
                  <w:pPr>
                    <w:pStyle w:val="Compact"/>
                    <w:jc w:val="right"/>
                    <w:jc w:val="center"/>
                  </w:pPr>
                  <w:r>
                    <w:t xml:space="preserve">0.777</w:t>
                  </w:r>
                </w:p>
              </w:tc>
              <w:tc>
                <w:tcPr/>
                <w:p>
                  <w:pPr>
                    <w:pStyle w:val="Compact"/>
                    <w:jc w:val="right"/>
                    <w:jc w:val="center"/>
                  </w:pPr>
                  <w:r>
                    <w:t xml:space="preserve">-1.95</w:t>
                  </w:r>
                </w:p>
              </w:tc>
              <w:tc>
                <w:tcPr/>
                <w:p>
                  <w:pPr>
                    <w:pStyle w:val="Compact"/>
                    <w:jc w:val="right"/>
                    <w:jc w:val="center"/>
                  </w:pPr>
                  <w:r>
                    <w:t xml:space="preserve">1.036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0.002</w:t>
                  </w:r>
                </w:p>
              </w:tc>
              <w:tc>
                <w:tcPr/>
                <w:p>
                  <w:pPr>
                    <w:pStyle w:val="Compact"/>
                    <w:jc w:val="right"/>
                    <w:jc w:val="center"/>
                  </w:pPr>
                  <w:r>
                    <w:t xml:space="preserve">0.739</w:t>
                  </w:r>
                </w:p>
              </w:tc>
              <w:tc>
                <w:tcPr/>
                <w:p>
                  <w:pPr>
                    <w:pStyle w:val="Compact"/>
                    <w:jc w:val="right"/>
                    <w:jc w:val="center"/>
                  </w:pPr>
                  <w:r>
                    <w:t xml:space="preserve">-1.452</w:t>
                  </w:r>
                </w:p>
              </w:tc>
              <w:tc>
                <w:tcPr/>
                <w:p>
                  <w:pPr>
                    <w:pStyle w:val="Compact"/>
                    <w:jc w:val="right"/>
                    <w:jc w:val="center"/>
                  </w:pPr>
                  <w:r>
                    <w:t xml:space="preserve">1.419</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0.228</w:t>
                  </w:r>
                </w:p>
              </w:tc>
              <w:tc>
                <w:tcPr/>
                <w:p>
                  <w:pPr>
                    <w:pStyle w:val="Compact"/>
                    <w:jc w:val="right"/>
                    <w:jc w:val="center"/>
                  </w:pPr>
                  <w:r>
                    <w:t xml:space="preserve">0.742</w:t>
                  </w:r>
                </w:p>
              </w:tc>
              <w:tc>
                <w:tcPr/>
                <w:p>
                  <w:pPr>
                    <w:pStyle w:val="Compact"/>
                    <w:jc w:val="right"/>
                    <w:jc w:val="center"/>
                  </w:pPr>
                  <w:r>
                    <w:t xml:space="preserve">-1.193</w:t>
                  </w:r>
                </w:p>
              </w:tc>
              <w:tc>
                <w:tcPr/>
                <w:p>
                  <w:pPr>
                    <w:pStyle w:val="Compact"/>
                    <w:jc w:val="right"/>
                    <w:jc w:val="center"/>
                  </w:pPr>
                  <w:r>
                    <w:t xml:space="preserve">1.697</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0.331</w:t>
                  </w:r>
                </w:p>
              </w:tc>
              <w:tc>
                <w:tcPr/>
                <w:p>
                  <w:pPr>
                    <w:pStyle w:val="Compact"/>
                    <w:jc w:val="right"/>
                    <w:jc w:val="center"/>
                  </w:pPr>
                  <w:r>
                    <w:t xml:space="preserve">0.749</w:t>
                  </w:r>
                </w:p>
              </w:tc>
              <w:tc>
                <w:tcPr/>
                <w:p>
                  <w:pPr>
                    <w:pStyle w:val="Compact"/>
                    <w:jc w:val="right"/>
                    <w:jc w:val="center"/>
                  </w:pPr>
                  <w:r>
                    <w:t xml:space="preserve">-1.084</w:t>
                  </w:r>
                </w:p>
              </w:tc>
              <w:tc>
                <w:tcPr/>
                <w:p>
                  <w:pPr>
                    <w:pStyle w:val="Compact"/>
                    <w:jc w:val="right"/>
                    <w:jc w:val="center"/>
                  </w:pPr>
                  <w:r>
                    <w:t xml:space="preserve">1.833</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0.823</w:t>
                  </w:r>
                </w:p>
              </w:tc>
              <w:tc>
                <w:tcPr/>
                <w:p>
                  <w:pPr>
                    <w:pStyle w:val="Compact"/>
                    <w:jc w:val="right"/>
                    <w:jc w:val="center"/>
                  </w:pPr>
                  <w:r>
                    <w:t xml:space="preserve">0.762</w:t>
                  </w:r>
                </w:p>
              </w:tc>
              <w:tc>
                <w:tcPr/>
                <w:p>
                  <w:pPr>
                    <w:pStyle w:val="Compact"/>
                    <w:jc w:val="right"/>
                    <w:jc w:val="center"/>
                  </w:pPr>
                  <w:r>
                    <w:t xml:space="preserve">-0.652</w:t>
                  </w:r>
                </w:p>
              </w:tc>
              <w:tc>
                <w:tcPr/>
                <w:p>
                  <w:pPr>
                    <w:pStyle w:val="Compact"/>
                    <w:jc w:val="right"/>
                    <w:jc w:val="center"/>
                  </w:pPr>
                  <w:r>
                    <w:t xml:space="preserve">2.321</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4.234</w:t>
                  </w:r>
                </w:p>
              </w:tc>
              <w:tc>
                <w:tcPr/>
                <w:p>
                  <w:pPr>
                    <w:pStyle w:val="Compact"/>
                    <w:jc w:val="right"/>
                    <w:jc w:val="center"/>
                  </w:pPr>
                  <w:r>
                    <w:t xml:space="preserve">0.968</w:t>
                  </w:r>
                </w:p>
              </w:tc>
              <w:tc>
                <w:tcPr/>
                <w:p>
                  <w:pPr>
                    <w:pStyle w:val="Compact"/>
                    <w:jc w:val="right"/>
                    <w:jc w:val="center"/>
                  </w:pPr>
                  <w:r>
                    <w:t xml:space="preserve">2.209</w:t>
                  </w:r>
                </w:p>
              </w:tc>
              <w:tc>
                <w:tcPr/>
                <w:p>
                  <w:pPr>
                    <w:pStyle w:val="Compact"/>
                    <w:jc w:val="right"/>
                    <w:jc w:val="center"/>
                  </w:pPr>
                  <w:r>
                    <w:t xml:space="preserve">6.021</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1.706</w:t>
                  </w:r>
                </w:p>
              </w:tc>
              <w:tc>
                <w:tcPr/>
                <w:p>
                  <w:pPr>
                    <w:pStyle w:val="Compact"/>
                    <w:jc w:val="right"/>
                    <w:jc w:val="center"/>
                  </w:pPr>
                  <w:r>
                    <w:t xml:space="preserve">0.717</w:t>
                  </w:r>
                </w:p>
              </w:tc>
              <w:tc>
                <w:tcPr/>
                <w:p>
                  <w:pPr>
                    <w:pStyle w:val="Compact"/>
                    <w:jc w:val="right"/>
                    <w:jc w:val="center"/>
                  </w:pPr>
                  <w:r>
                    <w:t xml:space="preserve">0.271</w:t>
                  </w:r>
                </w:p>
              </w:tc>
              <w:tc>
                <w:tcPr/>
                <w:p>
                  <w:pPr>
                    <w:pStyle w:val="Compact"/>
                    <w:jc w:val="right"/>
                    <w:jc w:val="center"/>
                  </w:pPr>
                  <w:r>
                    <w:t xml:space="preserve">3.102</w:t>
                  </w:r>
                </w:p>
              </w:tc>
            </w:tr>
          </w:tbl>
          <w:bookmarkEnd w:id="3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 influence of planning depends on how informative participants’ preferences are. If preferences and planning jointly guide choice, then choices should be dominated by whichever source provides the clearer signal on a given trial. Consistent with this idea, our model revealed a positive modulatory effect of preferences entropy on planning (</w:t>
      </w:r>
      <m:oMath>
        <m:sSub>
          <m:e>
            <m:r>
              <m:t>β</m:t>
            </m:r>
          </m:e>
          <m:sub>
            <m:r>
              <m:t>m</m:t>
            </m:r>
            <m:r>
              <m:t>o</m:t>
            </m:r>
            <m:r>
              <m:t>d</m:t>
            </m:r>
            <m:r>
              <m:t>u</m:t>
            </m:r>
            <m:r>
              <m:t>l</m:t>
            </m:r>
            <m:r>
              <m:t>a</m:t>
            </m:r>
            <m:r>
              <m:t>t</m:t>
            </m:r>
            <m:r>
              <m:t>i</m:t>
            </m:r>
            <m:r>
              <m:t>o</m:t>
            </m:r>
            <m:r>
              <m:t>n</m:t>
            </m:r>
          </m:sub>
        </m:sSub>
      </m:oMath>
      <w:r>
        <w:t xml:space="preserve">=1.71, CI=[0.28, 2.99], see</w:t>
      </w:r>
      <w:r>
        <w:t xml:space="preserve"> </w:t>
      </w:r>
      <w:hyperlink w:anchor="fig-pref-planning-interaction">
        <w:r>
          <w:rPr>
            <w:rStyle w:val="Hyperlink"/>
          </w:rPr>
          <w:t xml:space="preserve">Figure 3</w:t>
        </w:r>
      </w:hyperlink>
      <w:r>
        <w:t xml:space="preserve"> </w:t>
      </w:r>
      <w:r>
        <w:t xml:space="preserve">A). This positive effect implies that the more informative source of information exerts the stronger influence on participants’ choices. When preferences are strong and DV are close to 0, participants follow their preferences. Conversly, when preferences are weak and DV strongly favour one action, choices follow planning derived values.</w:t>
      </w:r>
    </w:p>
    <w:p>
      <w:pPr>
        <w:pStyle w:val="BodyText"/>
      </w:pPr>
      <w:r>
        <w:t xml:space="preserve">This effect can be seen when the sign of preferences and DV are opposed (one suggests accepting and the other rejecting or vice versa), as participants choice should either reflect preference or planning depending on their relative strength.</w:t>
      </w:r>
      <w:r>
        <w:t xml:space="preserve"> </w:t>
      </w:r>
      <w:hyperlink w:anchor="fig-pref-planning-interaction">
        <w:r>
          <w:rPr>
            <w:rStyle w:val="Hyperlink"/>
          </w:rPr>
          <w:t xml:space="preserve">Figure 3</w:t>
        </w:r>
      </w:hyperlink>
      <w:r>
        <w:t xml:space="preserve"> </w:t>
      </w:r>
      <w:r>
        <w:t xml:space="preserve">A shows participants responses as a function of preferences and DV, with emphasizes on the off diagonal quadrants (top left and bottom right where the sign of DV and preferences are opposed) by color coding accept and rejected trials (green triangles for accepting, yellow hexagons for rejecting). The background colors indicate the fitted probability of accepting an offer as a function of preferences and DV. In the top left quadrant, participants follow their preferences (i.e. accept) when DV are low relative to preferences, hence the green markers cluster close to DV equal to 0, while participants reject (i.e. follow DV) when DV are strong relative to preferences, hence the yellow marker cluster towards more negative DV. The contour line in the background reflect this modulatory effect, as the probability of rejecting an offer for a given DV decreases as preferneces score increases in the top left corner. Similarly, in the bottom right corner, the probability of accepting (i.e. following DV) an offer for a given DV decreases as preferences grows more negative. The effect of preferences on participants’ responses can further be seen in</w:t>
      </w:r>
      <w:r>
        <w:t xml:space="preserve"> </w:t>
      </w:r>
      <w:hyperlink w:anchor="fig-pref-planning-interaction">
        <w:r>
          <w:rPr>
            <w:rStyle w:val="Hyperlink"/>
          </w:rPr>
          <w:t xml:space="preserve">Figure 3</w:t>
        </w:r>
      </w:hyperlink>
      <w:r>
        <w:t xml:space="preserve"> </w:t>
      </w:r>
      <w:r>
        <w:t xml:space="preserve">B, where responses were binned as a function of DV, separately for states where preferences are positive (top row) and negative (bottom row). We can see that for a given DV, the probability of accepting is systematically increased when preferences are positive compared to when preferences are negative.</w:t>
      </w:r>
    </w:p>
    <w:p>
      <w:pPr>
        <w:pStyle w:val="BodyText"/>
      </w:pPr>
      <w:r>
        <w:t xml:space="preserve">Notably, both figures highlight that there are fewer trials in which DV are positive while preferences are negative (bottom right quadrant in</w:t>
      </w:r>
      <w:r>
        <w:t xml:space="preserve"> </w:t>
      </w:r>
      <w:hyperlink w:anchor="fig-pref-planning-interaction">
        <w:r>
          <w:rPr>
            <w:rStyle w:val="Hyperlink"/>
          </w:rPr>
          <w:t xml:space="preserve">Figure 3</w:t>
        </w:r>
      </w:hyperlink>
      <w:r>
        <w:t xml:space="preserve"> </w:t>
      </w:r>
      <w:r>
        <w:t xml:space="preserve">A). Furthermore, there are no trials in which preferences are strongly negative when DV are clearly positive (bottom right quadrant), while there are cases in which preferences are strongly positive while DV are strongly negative (top left). This indicates that bias towards rejecting an offer tends to be aligned with the DV, while participants sometimes show bias towards accepting when planning would suggest otherwise. This asymetry reflects the structure of our task. Strongly positive preference with strongly negative DV occur in trials where offer is high and energy is low, such that planning suggests to forgo a large offer to ensure future offers can be accepted, while participants preference for large offers outweights the weights associated with remaining factors. In the mirror case, where offer is low and energy is high, planning suggests rejecting the offer because sparing energy is preferrable, and so do preferences, as the negative weight associated with low offer is rarely outweighted by the positive bias associated with high energy states.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2" w:name="fig-pref-planning-interaction"/>
          <w:p>
            <w:pPr>
              <w:pStyle w:val="Compact"/>
              <w:jc w:val="center"/>
            </w:pPr>
            <w:r>
              <w:drawing>
                <wp:inline>
                  <wp:extent cx="5334000" cy="6145227"/>
                  <wp:effectExtent b="0" l="0" r="0" t="0"/>
                  <wp:docPr descr="" title="" id="40" name="Picture"/>
                  <a:graphic>
                    <a:graphicData uri="http://schemas.openxmlformats.org/drawingml/2006/picture">
                      <pic:pic>
                        <pic:nvPicPr>
                          <pic:cNvPr descr="index_files/figure-docx/fig-pref-planning-interaction-output-1.png" id="41" name="Picture"/>
                          <pic:cNvPicPr>
                            <a:picLocks noChangeArrowheads="1" noChangeAspect="1"/>
                          </pic:cNvPicPr>
                        </pic:nvPicPr>
                        <pic:blipFill>
                          <a:blip r:embed="rId39"/>
                          <a:stretch>
                            <a:fillRect/>
                          </a:stretch>
                        </pic:blipFill>
                        <pic:spPr bwMode="auto">
                          <a:xfrm>
                            <a:off x="0" y="0"/>
                            <a:ext cx="5334000" cy="61452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Interaction between preferences and DV. (A) Shows participants responses as a function of decision values and preference scores. On the off diagonal quadrant (top left and bottom right), the dot color indicate whether participants accepted the reward (green triangles) or rejected the reward (yellow octogons). The numbers in the legend refer to the number of trials. Background color indicate predicted probability of accepting the offer under the preference model, contour line correspond to the labelled probability. (B) Shows the probabiltiy of accepting an offer (y axis) binned per decision values (x axis), separately for trials in which preference score is positive (top bars pointing down) or negative (bottom bars pointing up). In the same way as (A), the top left and bottom right quadrant show trials in which preferences and DV are opposed, while bottom left and top right quandrant show trials where preferences and DV are aligned. Bars colors reflects the probability of accepting to vizualize the influence of preferences sign under matched DV.</w:t>
            </w:r>
          </w:p>
          <w:bookmarkEnd w:id="4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further establish the behavioural relevance of the planning parameter, the preference score and the modulatory effect of preferences entropy, we tested whether they are predictive of participants overall performances. As larger</w:t>
      </w:r>
      <w:r>
        <w:t xml:space="preserve"> </w:t>
      </w:r>
      <m:oMath>
        <m:sSub>
          <m:e>
            <m:r>
              <m:t>β</m:t>
            </m:r>
          </m:e>
          <m:sub>
            <m:r>
              <m:t>p</m:t>
            </m:r>
            <m:r>
              <m:t>l</m:t>
            </m:r>
            <m:r>
              <m:t>a</m:t>
            </m:r>
            <m:r>
              <m:t>n</m:t>
            </m:r>
            <m:r>
              <m:t>n</m:t>
            </m:r>
            <m:r>
              <m:t>i</m:t>
            </m:r>
            <m:r>
              <m:t>n</m:t>
            </m:r>
            <m:r>
              <m:t>g</m:t>
            </m:r>
          </m:sub>
        </m:sSub>
      </m:oMath>
      <w:r>
        <w:t xml:space="preserve"> </w:t>
      </w:r>
      <w:r>
        <w:t xml:space="preserve">values indicate stronger reliance on planning, we expected participants with larger</w:t>
      </w:r>
      <w:r>
        <w:t xml:space="preserve"> </w:t>
      </w:r>
      <m:oMath>
        <m:sSub>
          <m:e>
            <m:r>
              <m:t>β</m:t>
            </m:r>
          </m:e>
          <m:sub>
            <m:r>
              <m:t>p</m:t>
            </m:r>
            <m:r>
              <m:t>l</m:t>
            </m:r>
            <m:r>
              <m:t>a</m:t>
            </m:r>
            <m:r>
              <m:t>n</m:t>
            </m:r>
            <m:r>
              <m:t>n</m:t>
            </m:r>
            <m:r>
              <m:t>i</m:t>
            </m:r>
            <m:r>
              <m:t>n</m:t>
            </m:r>
            <m:r>
              <m:t>g</m:t>
            </m:r>
          </m:sub>
        </m:sSub>
      </m:oMath>
      <w:r>
        <w:t xml:space="preserve"> </w:t>
      </w:r>
      <w:r>
        <w:t xml:space="preserve">to obtain higher returns. In contrast to planning, preferences might sometimes not maximize reward, so participants with strong preferences (i.e. low preference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planning when their preferences are weak. Accordingly, we predicted that</w:t>
      </w:r>
      <w:r>
        <w:t xml:space="preserve"> </w:t>
      </w:r>
      <m:oMath>
        <m:sSub>
          <m:e>
            <m:r>
              <m:t>β</m:t>
            </m:r>
          </m:e>
          <m:sub>
            <m:r>
              <m:t>p</m:t>
            </m:r>
            <m:r>
              <m:t>l</m:t>
            </m:r>
            <m:r>
              <m:t>a</m:t>
            </m:r>
            <m:r>
              <m:t>n</m:t>
            </m:r>
            <m:r>
              <m:t>n</m:t>
            </m:r>
            <m:r>
              <m:t>i</m:t>
            </m:r>
            <m:r>
              <m:t>n</m:t>
            </m:r>
            <m:r>
              <m:t>g</m:t>
            </m:r>
          </m:sub>
        </m:sSub>
      </m:oMath>
      <w:r>
        <w:t xml:space="preserve">, preferences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our prediction, we observed a positive correlation between</w:t>
      </w:r>
      <w:r>
        <w:t xml:space="preserve"> </w:t>
      </w:r>
      <m:oMath>
        <m:sSub>
          <m:e>
            <m:r>
              <m:t>β</m:t>
            </m:r>
          </m:e>
          <m:sub>
            <m:r>
              <m:t>p</m:t>
            </m:r>
            <m:r>
              <m:t>l</m:t>
            </m:r>
            <m:r>
              <m:t>a</m:t>
            </m:r>
            <m:r>
              <m:t>n</m:t>
            </m:r>
            <m:r>
              <m:t>n</m:t>
            </m:r>
            <m:r>
              <m:t>i</m:t>
            </m:r>
            <m:r>
              <m:t>n</m:t>
            </m:r>
            <m:r>
              <m:t>g</m:t>
            </m:r>
          </m:sub>
        </m:sSub>
      </m:oMath>
      <w:r>
        <w:t xml:space="preserve"> </w:t>
      </w:r>
      <w:r>
        <w:t xml:space="preserve">and return (r=0.59, p=0.000,</w:t>
      </w:r>
      <w:r>
        <w:t xml:space="preserve"> </w:t>
      </w:r>
      <w:hyperlink w:anchor="fig-returns">
        <w:r>
          <w:rPr>
            <w:rStyle w:val="Hyperlink"/>
          </w:rPr>
          <w:t xml:space="preserve">Figure 4</w:t>
        </w:r>
      </w:hyperlink>
      <w:r>
        <w:t xml:space="preserve"> </w:t>
      </w:r>
      <w:r>
        <w:t xml:space="preserve">B), showing that participants who rely more on planning get larger return.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p=0.000,</w:t>
      </w:r>
      <w:r>
        <w:t xml:space="preserve"> </w:t>
      </w:r>
      <w:hyperlink w:anchor="fig-returns">
        <w:r>
          <w:rPr>
            <w:rStyle w:val="Hyperlink"/>
          </w:rPr>
          <w:t xml:space="preserve">Figure 4</w:t>
        </w:r>
      </w:hyperlink>
      <w:r>
        <w:t xml:space="preserve"> </w:t>
      </w:r>
      <w:r>
        <w:t xml:space="preserve">C). However, contrary to our prediction, we observed a negative correlation though only marginally significant correlation between preferences entropy and return (r=-0.30, p=0.064,</w:t>
      </w:r>
      <w:r>
        <w:t xml:space="preserve"> </w:t>
      </w:r>
      <w:hyperlink w:anchor="fig-returns">
        <w:r>
          <w:rPr>
            <w:rStyle w:val="Hyperlink"/>
          </w:rPr>
          <w:t xml:space="preserve">Figure 4</w:t>
        </w:r>
      </w:hyperlink>
      <w:r>
        <w:t xml:space="preserve"> </w:t>
      </w:r>
      <w:r>
        <w:t xml:space="preserve">D). Visual inspection of</w:t>
      </w:r>
      <w:r>
        <w:t xml:space="preserve"> </w:t>
      </w:r>
      <w:hyperlink w:anchor="fig-returns">
        <w:r>
          <w:rPr>
            <w:rStyle w:val="Hyperlink"/>
          </w:rPr>
          <w:t xml:space="preserve">Figure 4</w:t>
        </w:r>
      </w:hyperlink>
      <w:r>
        <w:t xml:space="preserve"> </w:t>
      </w:r>
      <w:r>
        <w:t xml:space="preserve">D revealed that the correlation appears to be driven from the subject with very low return (2.63 standard deviations from population mean). When removing this subject, the correlation between preferences entropy and return is not marginally significant (r=-0.09, p=0.570), while it remains strongly significant for planning (r=0.48, p=0.002) and modulation (r=0.60, p=0.000) when the same subject is removed.</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6" w:name="fig-returns"/>
          <w:p>
            <w:pPr>
              <w:pStyle w:val="Compact"/>
              <w:jc w:val="center"/>
            </w:pPr>
            <w:r>
              <w:drawing>
                <wp:inline>
                  <wp:extent cx="5334000" cy="3808018"/>
                  <wp:effectExtent b="0" l="0" r="0" t="0"/>
                  <wp:docPr descr="" title="" id="44" name="Picture"/>
                  <a:graphic>
                    <a:graphicData uri="http://schemas.openxmlformats.org/drawingml/2006/picture">
                      <pic:pic>
                        <pic:nvPicPr>
                          <pic:cNvPr descr="index_files/figure-docx/fig-returns-output-1.png" id="45" name="Picture"/>
                          <pic:cNvPicPr>
                            <a:picLocks noChangeArrowheads="1" noChangeAspect="1"/>
                          </pic:cNvPicPr>
                        </pic:nvPicPr>
                        <pic:blipFill>
                          <a:blip r:embed="rId43"/>
                          <a:stretch>
                            <a:fillRect/>
                          </a:stretch>
                        </pic:blipFill>
                        <pic:spPr bwMode="auto">
                          <a:xfrm>
                            <a:off x="0" y="0"/>
                            <a:ext cx="5334000" cy="38080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Single participants fit and performances (A) Model fit for each participant, color coded per model of best fit. (B) Correlation between participants return and the fitted</w:t>
            </w:r>
            <w:r>
              <w:t xml:space="preserve"> </w:t>
            </w:r>
            <m:oMath>
              <m:sSub>
                <m:e>
                  <m:r>
                    <m:t>β</m:t>
                  </m:r>
                </m:e>
                <m:sub>
                  <m:r>
                    <m:t>p</m:t>
                  </m:r>
                  <m:r>
                    <m:t>l</m:t>
                  </m:r>
                  <m:r>
                    <m:t>a</m:t>
                  </m:r>
                  <m:r>
                    <m:t>n</m:t>
                  </m:r>
                  <m:r>
                    <m:t>n</m:t>
                  </m:r>
                  <m:r>
                    <m:t>i</m:t>
                  </m:r>
                  <m:r>
                    <m:t>n</m:t>
                  </m:r>
                  <m:r>
                    <m:t>g</m:t>
                  </m:r>
                </m:sub>
              </m:sSub>
            </m:oMath>
            <w:r>
              <w:t xml:space="preserve"> </w:t>
            </w:r>
            <w:r>
              <w:t xml:space="preserve">parameter. Each dot represent a single participant, the line is a correlation fitted using optimal least square, legend indicates pearson correlation alongside p value. (C) Correlation between participants performances and the average preference entropy. Same convention as (B). (C) Correlation between participants performances and</w:t>
            </w:r>
            <w:r>
              <w:t xml:space="preserve"> </w:t>
            </w:r>
            <m:oMath>
              <m:sSub>
                <m:e>
                  <m:r>
                    <m:t>β</m:t>
                  </m:r>
                </m:e>
                <m:sub>
                  <m:r>
                    <m:t>m</m:t>
                  </m:r>
                  <m:r>
                    <m:t>o</m:t>
                  </m:r>
                  <m:r>
                    <m:t>d</m:t>
                  </m:r>
                  <m:r>
                    <m:t>u</m:t>
                  </m:r>
                  <m:r>
                    <m:t>l</m:t>
                  </m:r>
                  <m:r>
                    <m:t>a</m:t>
                  </m:r>
                  <m:r>
                    <m:t>t</m:t>
                  </m:r>
                  <m:r>
                    <m:t>i</m:t>
                  </m:r>
                  <m:r>
                    <m:t>o</m:t>
                  </m:r>
                  <m:r>
                    <m:t>n</m:t>
                  </m:r>
                </m:sub>
              </m:sSub>
            </m:oMath>
            <w:r>
              <w:t xml:space="preserve">. Same convention as (B)</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bookmarkStart w:id="52" w:name="experimental-factors-relevance"/>
    <w:p>
      <w:pPr>
        <w:pStyle w:val="Heading3"/>
      </w:pPr>
      <w:r>
        <w:t xml:space="preserve">3.2 Experimental factors relevance</w:t>
      </w:r>
    </w:p>
    <w:p>
      <w:pPr>
        <w:pStyle w:val="FirstParagraph"/>
      </w:pPr>
      <w:r>
        <w:t xml:space="preserve">Our results indicate that participants choices are shaped by two sources of information: planning-derived values and task-structured preferences. These preferences are not a single global bias. Instead, participants appear to assign preferences to different features of the task, such as the offer, the current cost context, and upcoming transitions, and combine these feature-specific preferences into an overall preference for each action in a given state.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weight strongly in participants preferences compared to costs (both current and future). To identify which aspects of task structure participants use to guide their choices, we compared models in which individual preference components were removed one at a time. This effectively tests how decision making changes when participants are assumed to ignore one specific sources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displays the difference in fit between the full preference model against models in which the preferences related to each experimental factor was removed, larger values indicate that the factor account for a more important proportion of the full model’s fit. These results indicate that energy followed by offer have a much larger impact on participants final responses, whereas costs related preferences have a small impact on the overall fit.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1" w:name="fig-task-features"/>
          <w:p>
            <w:pPr>
              <w:pStyle w:val="Compact"/>
              <w:jc w:val="center"/>
            </w:pPr>
            <w:r>
              <w:drawing>
                <wp:inline>
                  <wp:extent cx="5334000" cy="4602838"/>
                  <wp:effectExtent b="0" l="0" r="0" t="0"/>
                  <wp:docPr descr="" title="" id="49" name="Picture"/>
                  <a:graphic>
                    <a:graphicData uri="http://schemas.openxmlformats.org/drawingml/2006/picture">
                      <pic:pic>
                        <pic:nvPicPr>
                          <pic:cNvPr descr="index_files/figure-docx/fig-task-features-output-1.png" id="50" name="Picture"/>
                          <pic:cNvPicPr>
                            <a:picLocks noChangeArrowheads="1" noChangeAspect="1"/>
                          </pic:cNvPicPr>
                        </pic:nvPicPr>
                        <pic:blipFill>
                          <a:blip r:embed="rId48"/>
                          <a:stretch>
                            <a:fillRect/>
                          </a:stretch>
                        </pic:blipFill>
                        <pic:spPr bwMode="auto">
                          <a:xfrm>
                            <a:off x="0" y="0"/>
                            <a:ext cx="5334000" cy="4602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 (B) Loss in return when planning when ignoring each task factor (0 indicates no loss compared to optimal policy). This figure represents the reward sensitivity of each task factor: the larger the return loss, the more actions are dependent on the levels of the factor for return maximization. For example, the large loss associated with energy reflects the fact that when all energy levels are treated the same leads to accepting offers when energy is low, leading to low energy, preventing accepting future returns. (C) Loss in return of policies derived from the preference component of the full and reduced preference models omitting each task factors. For each model (full and reduced), we derive a policy from the preference component alone and calculated the expected return under such a policy, relative to the optimal policy. The y-axis represents the loss in relative return, 0 indicates that a preference policy performs exactly as well as the optimal policy. The grey line represents the return associated with a fully stochastic policy (i.e. equal probability of each action in each state). (D) Comparison between preference (in probability space) parameters and the marginal action probability of each task level.</w:t>
            </w:r>
          </w:p>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investigate whether preferences constitute adaptive biases to improve return in the absence of planning, we first quantified the reward sensitivity of each task factors by computing the loss in return of policies derived from planning while ignoring each factor (relative to the return from the optimal policy</w:t>
      </w:r>
      <w:r>
        <w:t xml:space="preserve"> </w:t>
      </w:r>
      <w:hyperlink w:anchor="fig-task-features">
        <w:r>
          <w:rPr>
            <w:rStyle w:val="Hyperlink"/>
          </w:rPr>
          <w:t xml:space="preserve">Figure 5</w:t>
        </w:r>
      </w:hyperlink>
      <w:r>
        <w:t xml:space="preserve"> </w:t>
      </w:r>
      <w:r>
        <w:t xml:space="preserve">B). Our results show that ignoring current and future costs when planning does not lead to large losses in return, while ignoring offers leads to a more important loss in return. Importantly, ignoring energy leads to a loss return that is larger than a purely stochastic policy (i.e. equal probability of accepting and rejecting an offer on each trial), indicating that reward maximization is extremely sensitive to energy. This can be explained by the structure of our task: when ignoring whether leads to the energy budget to be depleted, preventing the agent to accept an offer. Notably, the disproportionate reward sensitivity of energy is not reflected in</w:t>
      </w:r>
      <w:r>
        <w:t xml:space="preserve"> </w:t>
      </w:r>
      <w:hyperlink w:anchor="fig-task-features">
        <w:r>
          <w:rPr>
            <w:rStyle w:val="Hyperlink"/>
          </w:rPr>
          <w:t xml:space="preserve">Figure 5</w:t>
        </w:r>
      </w:hyperlink>
      <w:r>
        <w:t xml:space="preserve"> </w:t>
      </w:r>
      <w:r>
        <w:t xml:space="preserve">A. This can be explained by the fact that</w:t>
      </w:r>
      <w:r>
        <w:t xml:space="preserve"> </w:t>
      </w:r>
      <w:hyperlink w:anchor="fig-task-features">
        <w:r>
          <w:rPr>
            <w:rStyle w:val="Hyperlink"/>
          </w:rPr>
          <w:t xml:space="preserve">Figure 5</w:t>
        </w:r>
      </w:hyperlink>
      <w:r>
        <w:t xml:space="preserve"> </w:t>
      </w:r>
      <w:r>
        <w:t xml:space="preserve">A only reflects the preference component of the preference model. The importance of the energy dimension is already strongly reflected in the planning component of hte preference model, and the difference in fit in</w:t>
      </w:r>
      <w:r>
        <w:t xml:space="preserve"> </w:t>
      </w:r>
      <w:hyperlink w:anchor="fig-task-features">
        <w:r>
          <w:rPr>
            <w:rStyle w:val="Hyperlink"/>
          </w:rPr>
          <w:t xml:space="preserve">Figure 5</w:t>
        </w:r>
      </w:hyperlink>
      <w:r>
        <w:t xml:space="preserve"> </w:t>
      </w:r>
      <w:r>
        <w:t xml:space="preserve">A only reflect the deviations from optimal planning, explaining the discrepancy.</w:t>
      </w:r>
    </w:p>
    <w:p>
      <w:pPr>
        <w:pStyle w:val="BodyText"/>
      </w:pPr>
      <w:r>
        <w:t xml:space="preserve">We further computed the expected return loss from policies derived from the preference component of the model (preference policies). If participants preferences constitutes a good enough solution to return maximization in the absence of planning, we would expect policies derived from preferences only to yield suboptimal yet relatively low return loss. In addition, we would expect the features modulating participants responses more strongly to lead to larger return losses when omitted from the preferences. In line with our expectations, we observe that the preference policy of the full model leads to some return loss. However, the loss is lower than the stochastic policy (grey line), indicating that relying on preference policy is better than simply responding randomly in each state (</w:t>
      </w:r>
      <w:hyperlink w:anchor="fig-task-features">
        <w:r>
          <w:rPr>
            <w:rStyle w:val="Hyperlink"/>
          </w:rPr>
          <w:t xml:space="preserve">Figure 5</w:t>
        </w:r>
      </w:hyperlink>
      <w:r>
        <w:t xml:space="preserve"> </w:t>
      </w:r>
      <w:r>
        <w:t xml:space="preserve">B). Furthermore, we observed that while preference policies ignoring current and future costs (CC and FC in</w:t>
      </w:r>
      <w:r>
        <w:t xml:space="preserve"> </w:t>
      </w:r>
      <w:hyperlink w:anchor="fig-task-features">
        <w:r>
          <w:rPr>
            <w:rStyle w:val="Hyperlink"/>
          </w:rPr>
          <w:t xml:space="preserve">Figure 5</w:t>
        </w:r>
      </w:hyperlink>
      <w:r>
        <w:t xml:space="preserve"> </w:t>
      </w:r>
      <w:r>
        <w:t xml:space="preserve">B) do not lead to a large decrease in return compared to the full preference policy, ignoring the offer leads to large loss in return. The largest loss in return occurs when ignoring the energy factor, resulting in even worst performance than a purely stochastic policy. These results indicate that participants preferences do not reflect maladaptive biases by overgeneralizing relevance of certain features from other contexts but rather constitute adaptive biases enabling good enough choice when planning cannot be pursued.</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(of how often should an offer of 1 be accepted, across all energy and costs levels for example). To explore whether this might be the underlying mechanisms for participants preferences, we computed the factor dependent marginal action probability under the optimal policy.</w:t>
      </w:r>
      <w:r>
        <w:t xml:space="preserve"> </w:t>
      </w:r>
      <w:hyperlink w:anchor="fig-task-features">
        <w:r>
          <w:rPr>
            <w:rStyle w:val="Hyperlink"/>
          </w:rPr>
          <w:t xml:space="preserve">Figure 5</w:t>
        </w:r>
      </w:hyperlink>
      <w:r>
        <w:t xml:space="preserve"> </w:t>
      </w:r>
      <w:r>
        <w:t xml:space="preserve">C displays the preferences parameters against the marginal action probability. , showing that participants preferences closely reflect the feature specific marginal action probability of the optimal policy. Overall, participants preferences closely reflect the feature specific marginal action probability of the optimal policy, with some notable deviations. In the case of offer, preferences are lower than marginal action probability when offers are low (1 and 2), and significantly higher when offers are high (3 and 4). Across all other tasks levels, participants preferences are larger than marginal action probability, suggestive of an optimistic bias (i.e. tendency to accept offers more often than they should). Nonetheless, the overall similarities between both variables suggest that this is a plausible explanation of participants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2"/>
    <w:bookmarkStart w:id="57" w:name="reaction-times"/>
    <w:p>
      <w:pPr>
        <w:pStyle w:val="Heading3"/>
      </w:pPr>
      <w:r>
        <w:t xml:space="preserve">3.3 Reaction times</w:t>
      </w:r>
    </w:p>
    <w:p>
      <w:pPr>
        <w:pStyle w:val="FirstParagraph"/>
      </w:pPr>
      <w:r>
        <w:t xml:space="preserve">Under our hypothesis, the degree to which participants engage in planning should depend on the strength of participants preferences, which should be reflected in RTs (the less planning, the faster the RTs). Previous studies have shown that participants RT is positively correlated with planning conflict, indicating that less planning is required when the value associated with each action is more clearly distinct</w:t>
      </w:r>
      <w:r>
        <w:t xml:space="preserve"> </w:t>
      </w:r>
      <w:r>
        <w:t xml:space="preserve">(Ott et al. 2022a)</w:t>
      </w:r>
      <w:r>
        <w:t xml:space="preserve">. We therefore predicted that the effect of preferences should modulate the effect of planning conflict: when participants preferences are strong, they engage less in planning overall, resulting in a lower dependence between RT and conflict.</w:t>
      </w:r>
    </w:p>
    <w:p>
      <w:pPr>
        <w:pStyle w:val="BodyText"/>
      </w:pPr>
      <w:r>
        <w:t xml:space="preserve">In line with our prediction, we observed that participants RT was influenced by conflict, preferences an the interaction between the two (see</w:t>
      </w:r>
      <w:r>
        <w:t xml:space="preserve"> </w:t>
      </w:r>
      <w:hyperlink w:anchor="fig-rt">
        <w:r>
          <w:rPr>
            <w:rStyle w:val="Hyperlink"/>
          </w:rPr>
          <w:t xml:space="preserve">Figure 6</w:t>
        </w:r>
      </w:hyperlink>
      <w:r>
        <w:t xml:space="preserve"> </w:t>
      </w:r>
      <w:r>
        <w:t xml:space="preserve">A). This result extend on the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interaction between preference and conflict strength. The positive interaction (see</w:t>
      </w:r>
      <w:r>
        <w:t xml:space="preserve"> </w:t>
      </w:r>
      <w:hyperlink w:anchor="fig-rt">
        <w:r>
          <w:rPr>
            <w:rStyle w:val="Hyperlink"/>
          </w:rPr>
          <w:t xml:space="preserve">Figure 6</w:t>
        </w:r>
      </w:hyperlink>
      <w:r>
        <w:t xml:space="preserve"> </w:t>
      </w:r>
      <w:r>
        <w:t xml:space="preserve">A) between conflict and preferences indicate that the dependence of planning on the degree of conflict is modulated by the strength of participants’ preferences. As can be seen in</w:t>
      </w:r>
      <w:r>
        <w:t xml:space="preserve"> </w:t>
      </w:r>
      <w:hyperlink w:anchor="fig-rt">
        <w:r>
          <w:rPr>
            <w:rStyle w:val="Hyperlink"/>
          </w:rPr>
          <w:t xml:space="preserve">Figure 6</w:t>
        </w:r>
      </w:hyperlink>
      <w:r>
        <w:t xml:space="preserve"> </w:t>
      </w:r>
      <w:r>
        <w:t xml:space="preserve">B, planning depends little on conflict when preferences are strong (entropy close to 0), but increasingly when preferences grow weaker (preference entropy of 0.5 or 1.0).</w:t>
      </w:r>
    </w:p>
    <w:p>
      <w:pPr>
        <w:pStyle w:val="BodyText"/>
      </w:pPr>
      <w:r>
        <w:t xml:space="preserve">In other words, when preferences or planning signals are clear, participants do not engage much effort in planning. Participants dedicate most efforts in planning when preferences and planning signals are both weak. Combined with the choice model, these results indicate that participants engage in forward planning only to reduce the current uncertainty in their choice if their preferences are uncertain.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6" w:name="fig-rt"/>
          <w:p>
            <w:pPr>
              <w:pStyle w:val="Compact"/>
              <w:jc w:val="center"/>
            </w:pPr>
            <w:r>
              <w:drawing>
                <wp:inline>
                  <wp:extent cx="5334000" cy="3824902"/>
                  <wp:effectExtent b="0" l="0" r="0" t="0"/>
                  <wp:docPr descr="" title="" id="54" name="Picture"/>
                  <a:graphic>
                    <a:graphicData uri="http://schemas.openxmlformats.org/drawingml/2006/picture">
                      <pic:pic>
                        <pic:nvPicPr>
                          <pic:cNvPr descr="index_files/figure-docx/fig-rt-output-2.png" id="55" name="Picture"/>
                          <pic:cNvPicPr>
                            <a:picLocks noChangeArrowheads="1" noChangeAspect="1"/>
                          </pic:cNvPicPr>
                        </pic:nvPicPr>
                        <pic:blipFill>
                          <a:blip r:embed="rId53"/>
                          <a:stretch>
                            <a:fillRect/>
                          </a:stretch>
                        </pic:blipFill>
                        <pic:spPr bwMode="auto">
                          <a:xfrm>
                            <a:off x="0" y="0"/>
                            <a:ext cx="5334000" cy="3824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bookmarkEnd w:id="58"/>
    <w:bookmarkStart w:id="59" w:name="discussion"/>
    <w:p>
      <w:pPr>
        <w:pStyle w:val="Heading2"/>
      </w:pPr>
      <w:r>
        <w:t xml:space="preserve">4 Discussion</w:t>
      </w:r>
    </w:p>
    <w:p>
      <w:pPr>
        <w:pStyle w:val="FirstParagraph"/>
      </w:pPr>
      <w:r>
        <w:t xml:space="preserve">In this paper, we investigated the systematicity in participants deviations from optimalility in a complex sequential decision making task. Analysis of participants responses revealed that choices reflect a combination of planning and task-structured preferences which are integrated in a Bayesian-like fashion, such that the certainty of the preference component modulates the extent to which participants rely on planning for decision-making. Investigations of participants RT further indicates that participants dedicate less efforts to planning when their preferences are strong. Finally, exploring the impact of task features on reward maximization revealed that participants preferences are adapted to the task, enabling them to still obtain adequate returns in case planning is not feasible due to resource constraints.</w:t>
      </w:r>
    </w:p>
    <w:p>
      <w:pPr>
        <w:pStyle w:val="BodyText"/>
      </w:pPr>
      <w:r>
        <w:t xml:space="preserve">To our knowledge, our study is the first to combined planning values derived from reinforcement learning with factorial regressors associated with each experimental conditions. Compuational approaches typically models participants behaviour using RL algorithm combined with flexible bias parameters, these bias parameters are generally considered to constitute nuisance effects that are to be removed to reveal the planning underneath</w:t>
      </w:r>
      <w:r>
        <w:t xml:space="preserve"> </w:t>
      </w:r>
      <w:r>
        <w:t xml:space="preserve">(Ott et al. 2022a, 2020; Huys et al. 2012; Ho et al. 2022; Schwartenbeck et al. 2015)</w:t>
      </w:r>
      <w:r>
        <w:t xml:space="preserve">. In contrast, experimental work typically models behaviour or neural responses using hierarchical models incorporating all factors of the task to test hypotheses regarding predicted impact of experimental manipulations on measured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Combining both approaches into a unified model indicates that in sequential decision making tasks, participants supplement costly planning with biases reflecting the task structure to enable fast and efficient decisions.</w:t>
      </w:r>
    </w:p>
    <w:p>
      <w:pPr>
        <w:pStyle w:val="BodyText"/>
      </w:pPr>
      <w:r>
        <w:t xml:space="preserve">Our results constitute an important reframing of participants deviation from optimal behaviour. In the literature, biases are typically considered to be maladaptive deviations from rational behaviour. In psychology, many biases have been documented</w:t>
      </w:r>
      <w:r>
        <w:t xml:space="preserve"> </w:t>
      </w:r>
      <w:r>
        <w:t xml:space="preserve">(Berthet and De Gardelle 2023)</w:t>
      </w:r>
      <w:r>
        <w:t xml:space="preserve">, which are thought to reflect the use of wrong heuristics, leading participants to make flawed decisions</w:t>
      </w:r>
      <w:r>
        <w:t xml:space="preserve"> </w:t>
      </w:r>
      <w:r>
        <w:t xml:space="preserve">(Tversky and Kahneman 1974; Gilovich and Griffin 2002)</w:t>
      </w:r>
      <w:r>
        <w:t xml:space="preserve">. Similarly, in perceptual decision making, deviations from optimality have been extensively documented</w:t>
      </w:r>
      <w:r>
        <w:t xml:space="preserve"> </w:t>
      </w:r>
      <w:r>
        <w:t xml:space="preserve">(see Rahnev and Denison 2018 for a review)</w:t>
      </w:r>
      <w:r>
        <w:t xml:space="preserve">, which are thought to reflect a bug rather than a feature of human cognition</w:t>
      </w:r>
      <w:r>
        <w:t xml:space="preserve"> </w:t>
      </w:r>
      <w:r>
        <w:t xml:space="preserve">(Summerfield and Li 2018 ADD ADDITIONAL REFERENCES)</w:t>
      </w:r>
      <w:r>
        <w:t xml:space="preserve">. In contrast, our results suggest that rather than nuisance effects, participants preferences constitute a compact summary of task structure that help guide behavior when exhaustive planning is costly, when there is no time or when planning comes with high uncertainty.</w:t>
      </w:r>
    </w:p>
    <w:p>
      <w:pPr>
        <w:pStyle w:val="BodyText"/>
      </w:pPr>
      <w:r>
        <w:t xml:space="preserve">The preference component of our model is rather descriptive, we can therefore not infer how preferences are formed in our task. However, we speculate that the state dependent preferences may reflect priors over action. Participants might be able to transfer priors over policies from previous experience to a new task context, enabling them to perform close to optimal with relatively little trainining. Accordingly, our results align with Bayesian accounts of planning and the active inference framework, under which planning consists of the integration of the integration of priors with evidence regarding the value of actions derived from forward planning such that the extent of forward planning depends on the certainty of the prior</w:t>
      </w:r>
      <w:r>
        <w:t xml:space="preserve"> </w:t>
      </w:r>
      <w:r>
        <w:t xml:space="preserve">(Parr et al. 2022; Friston et al. 2009;</w:t>
      </w:r>
      <w:r>
        <w:t xml:space="preserve"> </w:t>
      </w:r>
      <w:r>
        <w:t xml:space="preserve">Friston et al.</w:t>
      </w:r>
      <w:r>
        <w:t xml:space="preserve"> </w:t>
      </w:r>
      <w:r>
        <w:t xml:space="preserve">2016; Schwöbel et al. 2021, 2024; Kuperwajs and Ma 2021)</w:t>
      </w:r>
      <w:r>
        <w:t xml:space="preserve">.</w:t>
      </w:r>
    </w:p>
    <w:p>
      <w:pPr>
        <w:pStyle w:val="BodyText"/>
      </w:pPr>
      <w:r>
        <w:t xml:space="preserve">This framing of preferences as priors further aligns with the notion that biases from optimal behaviour are instrumental when processes associated with decision making (ranging from perceptual to motor responses) are noisy, processing resources are limited</w:t>
      </w:r>
      <w:r>
        <w:t xml:space="preserve"> </w:t>
      </w:r>
      <w:r>
        <w:t xml:space="preserve">(Summerfield and Li 2018; Tsetsos et al. 2016; Schwiedrzik et al. 2014; Fischer and Whitney 2014)</w:t>
      </w:r>
      <w:r>
        <w:t xml:space="preserve">. Recent efforts to apply rate distortion theory and the policy compression framework have shown that biases towards most frequent actions are instrumental: for an agent under resource constraints, the optimal policy integrates planning with marginal action distribution under the optimal policy which constitutes participants prior over action</w:t>
      </w:r>
      <w:r>
        <w:t xml:space="preserve"> </w:t>
      </w:r>
      <w:r>
        <w:t xml:space="preserve">(Tishby and Polani 2010; Still and Precup 2012; Lai and Gershman 2024, 2021)</w:t>
      </w:r>
      <w:r>
        <w:t xml:space="preserve">. Our present study however extends on this idea, by showing that rather than integrating planning with state independent priors over actions, participants rely on state dependent preferences. This is an important addition to the policy compression framework, which to our knowledge as only been tested in tasks with small state spaces and where actions have no temporally distance consequences</w:t>
      </w:r>
      <w:r>
        <w:t xml:space="preserve"> </w:t>
      </w:r>
      <w:r>
        <w:t xml:space="preserve">(Lai and Gershman 2024; Bari and Gershman 2023; Liu and Gershman 2025; Lai et al. 2022; Gershman and Lak 2025)</w:t>
      </w:r>
      <w:r>
        <w:t xml:space="preserve">. In most complex tasks, when a large number of states can be reacted to with many different actions, and action-state combination have complex downstream implications, state independent choice history biases might not be a satisfactory alternative to planning when no resources can be spared. It is therefore likely that to solve real world, complex problems, humans rely on hierarchical priors reflecting relevant dimensions of the environment to maximize their return when they are unable to obtain fully certain or accuracy planning values.</w:t>
      </w:r>
    </w:p>
    <w:p>
      <w:pPr>
        <w:pStyle w:val="BodyText"/>
      </w:pPr>
      <w:r>
        <w:t xml:space="preserve">The use of exhaustive RL algorithm (backward induction) to derive action values for the planning component of our model does not imply that this is how planning has to be implemented in the brain. It is indeed more likely that alternative, more biologically plausible planning algorithm are at play, such as sampling methods,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ADD MORE REFERENCES)</w:t>
      </w:r>
      <w:r>
        <w:t xml:space="preserve">. We are not committed to either of these alternatives, as our main interest in the paper was to investigate the structure underlying participants deviations from planning. The observation that RT depends on the interaction between preferences strength and decision conflict suggests that whichever algorithm implements action value implementation in the brain, the extent of the computations can be controlled to obtain more or less precise estimates depending on the specific circumstances in which planning is called into 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9"/>
    <w:bookmarkStart w:id="60"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1" w:name="data-and-code-statement"/>
    <w:p>
      <w:pPr>
        <w:pStyle w:val="Heading2"/>
      </w:pPr>
      <w:r>
        <w:t xml:space="preserve">6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110" w:name="references"/>
    <w:p>
      <w:pPr>
        <w:pStyle w:val="Heading2"/>
      </w:pPr>
      <w:r>
        <w:t xml:space="preserve">7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9"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9"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8">
        <w:r>
          <w:rPr>
            <w:rStyle w:val="Hyperlink"/>
          </w:rPr>
          <w:t xml:space="preserve">https://doi.org/10.18637/jss.v103.i15</w:t>
        </w:r>
      </w:hyperlink>
      <w:r>
        <w:t xml:space="preserve">.</w:t>
      </w:r>
    </w:p>
    <w:bookmarkEnd w:id="69"/>
    <w:bookmarkStart w:id="70"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0"/>
    <w:bookmarkStart w:id="71" w:name="ref-fischer2014serial"/>
    <w:p>
      <w:pPr>
        <w:pStyle w:val="Bibliography"/>
      </w:pPr>
      <w:r>
        <w:t xml:space="preserve">Fischer, Jason, and David Whitney. 2014.</w:t>
      </w:r>
      <w:r>
        <w:t xml:space="preserve"> </w:t>
      </w:r>
      <w:r>
        <w:t xml:space="preserve">“Serial Dependence in Visual Perception.”</w:t>
      </w:r>
      <w:r>
        <w:t xml:space="preserve"> </w:t>
      </w:r>
      <w:r>
        <w:rPr>
          <w:i/>
          <w:iCs/>
        </w:rPr>
        <w:t xml:space="preserve">Nature Neuroscience</w:t>
      </w:r>
      <w:r>
        <w:t xml:space="preserve"> </w:t>
      </w:r>
      <w:r>
        <w:t xml:space="preserve">17 (5): 738–43.</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friston2009reinforcement"/>
    <w:p>
      <w:pPr>
        <w:pStyle w:val="Bibliography"/>
      </w:pPr>
      <w:r>
        <w:t xml:space="preserve">Friston, Karl J, Jean Daunizeau, and Stefan J Kiebel. 2009.</w:t>
      </w:r>
      <w:r>
        <w:t xml:space="preserve"> </w:t>
      </w:r>
      <w:r>
        <w:t xml:space="preserve">“Reinforcement Learning or Active Inference?”</w:t>
      </w:r>
      <w:r>
        <w:t xml:space="preserve"> </w:t>
      </w:r>
      <w:r>
        <w:rPr>
          <w:i/>
          <w:iCs/>
        </w:rPr>
        <w:t xml:space="preserve">PloS One</w:t>
      </w:r>
      <w:r>
        <w:t xml:space="preserve"> </w:t>
      </w:r>
      <w:r>
        <w:t xml:space="preserve">4 (7): e6421.</w:t>
      </w:r>
    </w:p>
    <w:bookmarkEnd w:id="73"/>
    <w:bookmarkStart w:id="74" w:name="ref-friston2016active"/>
    <w:p>
      <w:pPr>
        <w:pStyle w:val="Bibliography"/>
      </w:pPr>
      <w:r>
        <w:t xml:space="preserve">Friston, Karl, Thomas FitzGerald, Francesco Rigoli, Philipp Schwartenbeck, Giovanni Pezzulo, et al.</w:t>
      </w:r>
      <w:r>
        <w:t xml:space="preserve"> 2016.</w:t>
      </w:r>
      <w:r>
        <w:t xml:space="preserve"> </w:t>
      </w:r>
      <w:r>
        <w:t xml:space="preserve">“Active Inference and Learning.”</w:t>
      </w:r>
      <w:r>
        <w:t xml:space="preserve"> </w:t>
      </w:r>
      <w:r>
        <w:rPr>
          <w:i/>
          <w:iCs/>
        </w:rPr>
        <w:t xml:space="preserve">Neuroscience &amp; Biobehavioral Reviews</w:t>
      </w:r>
      <w:r>
        <w:t xml:space="preserve"> </w:t>
      </w:r>
      <w:r>
        <w:t xml:space="preserve">68: 862–79.</w:t>
      </w:r>
    </w:p>
    <w:bookmarkEnd w:id="74"/>
    <w:bookmarkStart w:id="75"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5"/>
    <w:bookmarkStart w:id="76"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8"/>
    <w:bookmarkStart w:id="79"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79"/>
    <w:bookmarkStart w:id="80"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0"/>
    <w:bookmarkStart w:id="81"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1"/>
    <w:bookmarkStart w:id="82"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2"/>
    <w:bookmarkStart w:id="83"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3"/>
    <w:bookmarkStart w:id="84"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4"/>
    <w:bookmarkStart w:id="85"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5"/>
    <w:bookmarkStart w:id="86"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6"/>
    <w:bookmarkStart w:id="87"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7"/>
    <w:bookmarkStart w:id="89"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88">
        <w:r>
          <w:rPr>
            <w:rStyle w:val="Hyperlink"/>
          </w:rPr>
          <w:t xml:space="preserve">https://doi.org/10.1016/j.neuroimage.2022.119222</w:t>
        </w:r>
      </w:hyperlink>
      <w:r>
        <w:t xml:space="preserve">.</w:t>
      </w:r>
    </w:p>
    <w:bookmarkEnd w:id="89"/>
    <w:bookmarkStart w:id="91"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0">
        <w:r>
          <w:rPr>
            <w:rStyle w:val="Hyperlink"/>
          </w:rPr>
          <w:t xml:space="preserve">https://doi.org/10.5281/zenodo.6328296</w:t>
        </w:r>
      </w:hyperlink>
      <w:r>
        <w:t xml:space="preserve">.</w:t>
      </w:r>
    </w:p>
    <w:bookmarkEnd w:id="91"/>
    <w:bookmarkStart w:id="92"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2"/>
    <w:bookmarkStart w:id="93" w:name="ref-parr2022active"/>
    <w:p>
      <w:pPr>
        <w:pStyle w:val="Bibliography"/>
      </w:pPr>
      <w:r>
        <w:t xml:space="preserve">Parr, Thomas, Giovanni Pezzulo, and Karl J Friston. 2022.</w:t>
      </w:r>
      <w:r>
        <w:t xml:space="preserve"> </w:t>
      </w:r>
      <w:r>
        <w:rPr>
          <w:i/>
          <w:iCs/>
        </w:rPr>
        <w:t xml:space="preserve">Active Inference: The Free Energy Principle in Mind, Brain, and Behavior</w:t>
      </w:r>
      <w:r>
        <w:t xml:space="preserve">. MIT Press.</w:t>
      </w:r>
    </w:p>
    <w:bookmarkEnd w:id="93"/>
    <w:bookmarkStart w:id="94"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4"/>
    <w:bookmarkStart w:id="95"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5"/>
    <w:bookmarkStart w:id="96"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96"/>
    <w:bookmarkStart w:id="97" w:name="ref-schwiedrzik2014untangling"/>
    <w:p>
      <w:pPr>
        <w:pStyle w:val="Bibliography"/>
      </w:pPr>
      <w:r>
        <w:t xml:space="preserve">Schwiedrzik, Caspar M, Christian C Ruff, Andreea Lazar, Frauke C Leitner, Wolf Singer, and Lucia Melloni. 2014.</w:t>
      </w:r>
      <w:r>
        <w:t xml:space="preserve"> </w:t>
      </w:r>
      <w:r>
        <w:t xml:space="preserve">“Untangling Perceptual Memory: Hysteresis and Adaptation Map into Separate Cortical Networks.”</w:t>
      </w:r>
      <w:r>
        <w:t xml:space="preserve"> </w:t>
      </w:r>
      <w:r>
        <w:rPr>
          <w:i/>
          <w:iCs/>
        </w:rPr>
        <w:t xml:space="preserve">Cerebral Cortex</w:t>
      </w:r>
      <w:r>
        <w:t xml:space="preserve"> </w:t>
      </w:r>
      <w:r>
        <w:t xml:space="preserve">24 (5): 1152–64.</w:t>
      </w:r>
    </w:p>
    <w:bookmarkEnd w:id="97"/>
    <w:bookmarkStart w:id="98"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98"/>
    <w:bookmarkStart w:id="99"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99"/>
    <w:bookmarkStart w:id="100"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0"/>
    <w:bookmarkStart w:id="101"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1"/>
    <w:bookmarkStart w:id="102" w:name="ref-still2012information"/>
    <w:p>
      <w:pPr>
        <w:pStyle w:val="Bibliography"/>
      </w:pPr>
      <w:r>
        <w:t xml:space="preserve">Still, Susanne, and Doina Precup. 2012.</w:t>
      </w:r>
      <w:r>
        <w:t xml:space="preserve"> </w:t>
      </w:r>
      <w:r>
        <w:t xml:space="preserve">“An Information-Theoretic Approach to Curiosity-Driven Reinforcement Learning.”</w:t>
      </w:r>
      <w:r>
        <w:t xml:space="preserve"> </w:t>
      </w:r>
      <w:r>
        <w:rPr>
          <w:i/>
          <w:iCs/>
        </w:rPr>
        <w:t xml:space="preserve">Theory in Biosciences</w:t>
      </w:r>
      <w:r>
        <w:t xml:space="preserve"> </w:t>
      </w:r>
      <w:r>
        <w:t xml:space="preserve">131 (3): 139–48.</w:t>
      </w:r>
    </w:p>
    <w:bookmarkEnd w:id="102"/>
    <w:bookmarkStart w:id="103" w:name="ref-summerfield2018perceptual"/>
    <w:p>
      <w:pPr>
        <w:pStyle w:val="Bibliography"/>
      </w:pPr>
      <w:r>
        <w:t xml:space="preserve">Summerfield, Christopher, and Vickie Li. 2018.</w:t>
      </w:r>
      <w:r>
        <w:t xml:space="preserve"> </w:t>
      </w:r>
      <w:r>
        <w:t xml:space="preserve">“Perceptual Suboptimality: Bug or Feature?”</w:t>
      </w:r>
      <w:r>
        <w:t xml:space="preserve"> </w:t>
      </w:r>
      <w:r>
        <w:rPr>
          <w:i/>
          <w:iCs/>
        </w:rPr>
        <w:t xml:space="preserve">Behavioral and Brain Sciences</w:t>
      </w:r>
      <w:r>
        <w:t xml:space="preserve"> </w:t>
      </w:r>
      <w:r>
        <w:t xml:space="preserve">41.</w:t>
      </w:r>
    </w:p>
    <w:bookmarkEnd w:id="103"/>
    <w:bookmarkStart w:id="104"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4"/>
    <w:bookmarkStart w:id="105"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5"/>
    <w:bookmarkStart w:id="106"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6"/>
    <w:bookmarkStart w:id="107"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7"/>
    <w:bookmarkStart w:id="108"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9" Target="https://AlexLepauvre.github.io/state_abstraction_paper/index-preview.html" TargetMode="External" /><Relationship Type="http://schemas.openxmlformats.org/officeDocument/2006/relationships/hyperlink" Id="rId88" Target="https://doi.org/10.1016/j.neuroimage.2022.119222" TargetMode="External" /><Relationship Type="http://schemas.openxmlformats.org/officeDocument/2006/relationships/hyperlink" Id="rId68" Target="https://doi.org/10.18637/jss.v103.i15" TargetMode="External" /><Relationship Type="http://schemas.openxmlformats.org/officeDocument/2006/relationships/hyperlink" Id="rId90"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preview.html" TargetMode="External" /><Relationship Type="http://schemas.openxmlformats.org/officeDocument/2006/relationships/hyperlink" Id="rId88" Target="https://doi.org/10.1016/j.neuroimage.2022.119222" TargetMode="External" /><Relationship Type="http://schemas.openxmlformats.org/officeDocument/2006/relationships/hyperlink" Id="rId68" Target="https://doi.org/10.18637/jss.v103.i15" TargetMode="External" /><Relationship Type="http://schemas.openxmlformats.org/officeDocument/2006/relationships/hyperlink" Id="rId90"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 preferences</dc:title>
  <dc:creator>Alex Lepauvre; Stefan Kiebel</dc:creator>
  <cp:keywords>Decision making, Reinforcement learning</cp:keywords>
  <dcterms:created xsi:type="dcterms:W3CDTF">2026-07-09T08:50:28Z</dcterms:created>
  <dcterms:modified xsi:type="dcterms:W3CDTF">2026-07-09T08:50:28Z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2026-07-09</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