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2026-09-18</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dataset where participants performed a complex sequential decision making task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In each trial, participants had to decide whether to accept or reject an offer varying between 1 and 4 points, where accepting an offer incurred and energy cost between 1 and 2 points, and rejecting an offer incurred a gain of one energy point. Energy cost associated with accepting an offer changed every 4 trials (referred to as trials segment) and participants were informed of the current and future trials segment. This task is highly structure, as each trial consists of a combination of 4 factors (offer, energy, current and future costs), all of which have to be taken into account to maximize return, making this dataset ideal to test our prediction that participants combine forward-planning with preferences reflecting the structure of the task.</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332.43</w:t>
      </w:r>
      <w:r>
        <w:t xml:space="preserve"> </w:t>
      </w:r>
      <m:oMath>
        <m:r>
          <m:rPr>
            <m:sty m:val="p"/>
          </m:rPr>
          <m:t>±</m:t>
        </m:r>
      </m:oMath>
      <w:r>
        <w:t xml:space="preserve"> </w:t>
      </w:r>
      <w:r>
        <w:t xml:space="preserve">6.64 points throughout the experiment.</w:t>
      </w:r>
    </w:p>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(see</w:t>
      </w:r>
      <w:r>
        <w:t xml:space="preserve"> </w:t>
      </w:r>
      <w:hyperlink w:anchor="sec-choice-behavior-modeling-method">
        <w:r>
          <w:rPr>
            <w:rStyle w:val="Hyperlink"/>
          </w:rPr>
          <w:t xml:space="preserve">Section 4.3</w:t>
        </w:r>
      </w:hyperlink>
      <w:r>
        <w:t xml:space="preserve"> </w:t>
      </w:r>
      <w:r>
        <w:t xml:space="preserve">for detailed explanation).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assumed deviations were unsystematic noise, serving as a benchmark. The three other models differed in how they accounted for deviations from this benchmark. The Frequency-prior model assumed deviations reflect a recency bias towards recently chosen actions. The Offer-context model, the best fitting model from</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7319"/>
                  <wp:effectExtent b="0" l="0" r="0" t="0"/>
                  <wp:docPr descr="" title="" id="15" name="Picture"/>
                  <a:graphic>
                    <a:graphicData uri="http://schemas.openxmlformats.org/drawingml/2006/picture">
                      <pic:pic>
                        <pic:nvPicPr>
                          <pic:cNvPr descr="index_files/figure-docx/fig-choicemdl-output-1.png" id="16" name="Picture"/>
                          <pic:cNvPicPr>
                            <a:picLocks noChangeArrowheads="1" noChangeAspect="1"/>
                          </pic:cNvPicPr>
                        </pic:nvPicPr>
                        <pic:blipFill>
                          <a:blip r:embed="rId14"/>
                          <a:stretch>
                            <a:fillRect/>
                          </a:stretch>
                        </pic:blipFill>
                        <pic:spPr bwMode="auto">
                          <a:xfrm>
                            <a:off x="0" y="0"/>
                            <a:ext cx="5334000" cy="6927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Observed and model-predicted probability of accepting, shown separately for each offer level and model. Points indicate participants’ observed acceptance probabilities.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=[0.35, 2.25]),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7026"/>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70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42669"/>
                  <wp:effectExtent b="0" l="0" r="0" t="0"/>
                  <wp:docPr descr="" title="" id="28" name="Picture"/>
                  <a:graphic>
                    <a:graphicData uri="http://schemas.openxmlformats.org/drawingml/2006/picture">
                      <pic:pic>
                        <pic:nvPicPr>
                          <pic:cNvPr descr="index_files/figure-docx/fig-task-features-output-1.png" id="29" name="Picture"/>
                          <pic:cNvPicPr>
                            <a:picLocks noChangeArrowheads="1" noChangeAspect="1"/>
                          </pic:cNvPicPr>
                        </pic:nvPicPr>
                        <pic:blipFill>
                          <a:blip r:embed="rId27"/>
                          <a:stretch>
                            <a:fillRect/>
                          </a:stretch>
                        </pic:blipFill>
                        <pic:spPr bwMode="auto">
                          <a:xfrm>
                            <a:off x="0" y="0"/>
                            <a:ext cx="5334000" cy="444266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5059"/>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505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w:t>
      </w:r>
      <w:r>
        <w:t xml:space="preserve"> </w:t>
      </w:r>
      <w:r>
        <w:rPr>
          <w:rStyle w:val="VerbatimChar"/>
        </w:rPr>
        <w:t xml:space="preserve">{python} f"{n_participants:.0f}"</w:t>
      </w:r>
      <w:r>
        <w:t xml:space="preserve"> </w:t>
      </w:r>
      <w:r>
        <w:t xml:space="preserve">participants (</w:t>
      </w:r>
      <w:r>
        <w:rPr>
          <w:rStyle w:val="VerbatimChar"/>
        </w:rPr>
        <w:t xml:space="preserve">{python} f"{n_female:.0f}, mean age={mean_age:.1f}, SD={std_age:.1f}"</w:t>
      </w:r>
      <w:r>
        <w:t xml:space="preserve">)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3"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2"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42"/>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3"/>
    <w:bookmarkStart w:id="46"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4"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44"/>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5"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45"/>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6"/>
    <w:bookmarkStart w:id="48"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7"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47"/>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8"/>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49"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49"/>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0"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50"/>
    </w:p>
    <w:p>
      <w:pPr>
        <w:pStyle w:val="FirstParagraph"/>
      </w:pPr>
      <w:r>
        <w:t xml:space="preserve">With:</w:t>
      </w:r>
    </w:p>
    <w:p>
      <w:pPr>
        <w:pStyle w:val="BodyText"/>
      </w:pPr>
      <w:bookmarkStart w:id="51"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51"/>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prefernece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500679"/>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2026-09-18T09:42:46Z</dcterms:created>
  <dcterms:modified xsi:type="dcterms:W3CDTF">2026-09-18T09:42:46Z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2026-09-18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