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2026-09-25</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However, it remains unclear how such prior-like action tendencies are structured in complex sequential decision-making tasks and whether their uncertainty determines reliance on forward planning. In particular, it is unknown whether agents can exploit multiple features of the task to form structured preferences that regulate the influence of planning-derived values. 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2.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Proportion of trials in which the model predicted responses match participants’ responses, separately for each model and offer level. Dots represent single participants modelled/observed match proportions.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=[0.31, 2.29]),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2.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female,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p>
    <w:p>
      <w:pPr>
        <w:pStyle w:val="BodyText"/>
      </w:pPr>
      <w:bookmarkStart w:id="42" w:name="eq-logistic_sigmoid"/>
      <m:oMathPara>
        <m:oMathParaPr>
          <m:jc m:val="center"/>
        </m:oMathParaP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r>
            <m:t>  </m:t>
          </m:r>
          <m:r>
            <m:rPr>
              <m:sty m:val="p"/>
            </m:rPr>
            <m:t>(</m:t>
          </m:r>
          <m:r>
            <m:t>2</m:t>
          </m:r>
          <m:r>
            <m:rPr>
              <m:sty m:val="p"/>
            </m:rPr>
            <m:t>)</m:t>
          </m:r>
        </m:oMath>
      </m:oMathPara>
      <w:bookmarkEnd w:id="42"/>
    </w:p>
    <w:p>
      <w:pPr>
        <w:pStyle w:val="FirstParagraph"/>
      </w:pP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4"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3"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3</m:t>
          </m:r>
          <m:r>
            <m:rPr>
              <m:sty m:val="p"/>
            </m:rPr>
            <m:t>)</m:t>
          </m:r>
        </m:oMath>
      </m:oMathPara>
      <w:bookmarkEnd w:id="43"/>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4"/>
    <w:bookmarkStart w:id="47"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5"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4</m:t>
          </m:r>
          <m:r>
            <m:rPr>
              <m:sty m:val="p"/>
            </m:rPr>
            <m:t>)</m:t>
          </m:r>
        </m:oMath>
      </m:oMathPara>
      <w:bookmarkEnd w:id="45"/>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6"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5</m:t>
          </m:r>
          <m:r>
            <m:rPr>
              <m:sty m:val="p"/>
            </m:rPr>
            <m:t>)</m:t>
          </m:r>
        </m:oMath>
      </m:oMathPara>
      <w:bookmarkEnd w:id="46"/>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7"/>
    <w:bookmarkStart w:id="49"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8"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6</m:t>
          </m:r>
          <m:r>
            <m:rPr>
              <m:sty m:val="p"/>
            </m:rPr>
            <m:t>)</m:t>
          </m:r>
        </m:oMath>
      </m:oMathPara>
      <w:bookmarkEnd w:id="48"/>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9"/>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50"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7</m:t>
          </m:r>
          <m:r>
            <m:rPr>
              <m:sty m:val="p"/>
            </m:rPr>
            <m:t>)</m:t>
          </m:r>
        </m:oMath>
      </m:oMathPara>
      <w:bookmarkEnd w:id="50"/>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1"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8</m:t>
          </m:r>
          <m:r>
            <m:rPr>
              <m:sty m:val="p"/>
            </m:rPr>
            <m:t>)</m:t>
          </m:r>
        </m:oMath>
      </m:oMathPara>
      <w:bookmarkEnd w:id="51"/>
    </w:p>
    <w:p>
      <w:pPr>
        <w:pStyle w:val="FirstParagraph"/>
      </w:pPr>
      <w:r>
        <w:t xml:space="preserve">and</w:t>
      </w:r>
      <w:r>
        <w:t xml:space="preserve"> </w:t>
      </w:r>
      <m:oMath>
        <m:r>
          <m:t>σ</m:t>
        </m:r>
        <m:r>
          <m:rPr>
            <m:sty m:val="p"/>
          </m:rPr>
          <m:t>(</m:t>
        </m:r>
        <m:r>
          <m:t>x</m:t>
        </m:r>
        <m:r>
          <m:rPr>
            <m:sty m:val="p"/>
          </m:rPr>
          <m:t>)</m:t>
        </m:r>
      </m:oMath>
      <w:r>
        <w:t xml:space="preserve"> </w:t>
      </w:r>
      <w:r>
        <w:t xml:space="preserve">is the logistic sigmoid defined in</w:t>
      </w:r>
      <w:r>
        <w:t xml:space="preserve"> </w:t>
      </w:r>
      <w:hyperlink w:anchor="eq-logistic_sigmoid">
        <w:r>
          <w:rPr>
            <w:rStyle w:val="Hyperlink"/>
          </w:rPr>
          <w:t xml:space="preserve">Equation 2</w:t>
        </w:r>
      </w:hyperlink>
      <w:r>
        <w:t xml:space="preserve">.</w:t>
      </w:r>
    </w:p>
    <w:p>
      <w:pPr>
        <w:pStyle w:val="BodyText"/>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preference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p>
      <w:pPr>
        <w:pStyle w:val="FirstParagraph"/>
      </w:pPr>
      <w:r>
        <w:t xml:space="preserve">The authors thank Qian Chu for their valuable comments and suggestions. This work was funded by the German Research Foundation (DFG, Deutsche Forschungsgemeinschaft), Ref: KI 1638/5-1, project number: 538763959.</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495760"/>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49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2</m:t>
                        </m:r>
                      </m:sub>
                    </m:sSub>
                  </m:oMath>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m</m:t>
                        </m:r>
                        <m:r>
                          <m:t>o</m:t>
                        </m:r>
                        <m:r>
                          <m:t>d</m:t>
                        </m:r>
                        <m:r>
                          <m:t>u</m:t>
                        </m:r>
                        <m:r>
                          <m:t>l</m:t>
                        </m:r>
                        <m:r>
                          <m:t>a</m:t>
                        </m:r>
                        <m:r>
                          <m:t>t</m:t>
                        </m:r>
                        <m:r>
                          <m:t>i</m:t>
                        </m:r>
                        <m:r>
                          <m:t>o</m:t>
                        </m:r>
                        <m:r>
                          <m:t>n</m:t>
                        </m:r>
                      </m:sub>
                    </m:sSub>
                  </m:oMath>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(No_CC) model where current cost factor was omitted from preferences, (No_FC)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-1519.82</w:t>
                  </w:r>
                </w:p>
              </w:tc>
              <w:tc>
                <w:tcPr/>
                <w:p>
                  <w:pPr>
                    <w:pStyle w:val="Compact"/>
                    <w:jc w:val="right"/>
                    <w:jc w:val="center"/>
                  </w:pPr>
                  <w:r>
                    <w:t xml:space="preserve">229.718</w:t>
                  </w:r>
                </w:p>
              </w:tc>
              <w:tc>
                <w:tcPr/>
                <w:p>
                  <w:pPr>
                    <w:pStyle w:val="Compact"/>
                    <w:jc w:val="right"/>
                    <w:jc w:val="center"/>
                  </w:pPr>
                  <w:r>
                    <w:t xml:space="preserve">27.351</w:t>
                  </w:r>
                </w:p>
              </w:tc>
              <w:tc>
                <w:tcPr/>
                <w:p>
                  <w:pPr>
                    <w:pStyle w:val="Compact"/>
                    <w:jc w:val="right"/>
                    <w:jc w:val="center"/>
                  </w:pPr>
                  <w:r>
                    <w:t xml:space="preserve">48.6187</w:t>
                  </w:r>
                </w:p>
              </w:tc>
              <w:tc>
                <w:tcPr/>
                <w:p>
                  <w:pPr>
                    <w:pStyle w:val="Compact"/>
                    <w:jc w:val="right"/>
                    <w:jc w:val="center"/>
                  </w:pPr>
                  <w:r>
                    <w:t xml:space="preserve">7.56828</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with</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2026-09-25T14:52:41Z</dcterms:created>
  <dcterms:modified xsi:type="dcterms:W3CDTF">2026-09-25T14:52:41Z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2026-09-25</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