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C63FF"/>
          <w:sz w:val="56"/>
        </w:rPr>
        <w:t>[APP_NAME]</w:t>
      </w:r>
    </w:p>
    <w:p>
      <w:r>
        <w:rPr>
          <w:color w:val="555555"/>
          <w:sz w:val="28"/>
        </w:rPr>
        <w:t>Product Requirements Document</w:t>
      </w:r>
    </w:p>
    <w:p>
      <w:pPr>
        <w:spacing w:before="40" w:after="40"/>
        <w:pBdr>
          <w:bottom w:val="single" w:sz="4" w:space="1" w:color="6C63FF"/>
        </w:pBdr>
      </w:pPr>
    </w:p>
    <w:p>
      <w:pPr>
        <w:spacing w:before="160"/>
      </w:pPr>
      <w:r>
        <w:rPr>
          <w:b/>
          <w:color w:val="555555"/>
          <w:sz w:val="18"/>
        </w:rPr>
        <w:t xml:space="preserve">Version : </w:t>
      </w:r>
      <w:r>
        <w:rPr>
          <w:color w:val="1A1A2E"/>
          <w:sz w:val="18"/>
        </w:rPr>
        <w:t xml:space="preserve">0.1 — Draft     </w:t>
      </w:r>
      <w:r>
        <w:rPr>
          <w:b/>
          <w:color w:val="555555"/>
          <w:sz w:val="18"/>
        </w:rPr>
        <w:t xml:space="preserve">Auteur : </w:t>
      </w:r>
      <w:r>
        <w:rPr>
          <w:color w:val="1A1A2E"/>
          <w:sz w:val="18"/>
        </w:rPr>
        <w:t xml:space="preserve">Alexandre     </w:t>
      </w:r>
      <w:r>
        <w:rPr>
          <w:b/>
          <w:color w:val="555555"/>
          <w:sz w:val="18"/>
        </w:rPr>
        <w:t xml:space="preserve">Date : </w:t>
      </w:r>
      <w:r>
        <w:rPr>
          <w:color w:val="1A1A2E"/>
          <w:sz w:val="18"/>
        </w:rPr>
        <w:t xml:space="preserve">16 juin 2026     </w:t>
      </w:r>
      <w:r>
        <w:rPr>
          <w:b/>
          <w:color w:val="555555"/>
          <w:sz w:val="18"/>
        </w:rPr>
        <w:t xml:space="preserve">Stack : </w:t>
      </w:r>
      <w:r>
        <w:rPr>
          <w:color w:val="1A1A2E"/>
          <w:sz w:val="18"/>
        </w:rPr>
        <w:t xml:space="preserve">Next.js 15 · Supabase · Vercel · React Three Fiber     </w:t>
      </w:r>
    </w:p>
    <w:p/>
    <w:p>
      <w:pPr>
        <w:spacing w:before="480" w:after="120"/>
      </w:pPr>
      <w:r>
        <w:rPr>
          <w:b/>
          <w:color w:val="6C63FF"/>
          <w:sz w:val="28"/>
        </w:rPr>
        <w:t>1. PROBLÈME</w:t>
      </w:r>
    </w:p>
    <w:p>
      <w:pPr>
        <w:spacing w:after="80"/>
      </w:pPr>
      <w:r>
        <w:rPr>
          <w:color w:val="1A1A2E"/>
          <w:sz w:val="20"/>
        </w:rPr>
        <w:t>Gérer une collection de jeux rétro aujourd'hui, c'est jongler entre des feuilles Excel, RetroCollect et VGCollect. Aucun outil existant ne donne envie de l'ouvrir, et aucun ne traite correctement le cycle complet d'un jeu dans une collection : achat, état, completion, revente.</w:t>
      </w:r>
    </w:p>
    <w:p>
      <w:pPr>
        <w:spacing w:before="480" w:after="120"/>
      </w:pPr>
      <w:r>
        <w:rPr>
          <w:b/>
          <w:color w:val="6C63FF"/>
          <w:sz w:val="28"/>
        </w:rPr>
        <w:t>2. PRODUIT</w:t>
      </w:r>
    </w:p>
    <w:p>
      <w:pPr>
        <w:spacing w:after="80"/>
      </w:pPr>
      <w:r>
        <w:rPr>
          <w:color w:val="1A1A2E"/>
          <w:sz w:val="20"/>
        </w:rPr>
        <w:t>[APP_NAME] est une app web pour cataloguer sa collection de jeux rétro. L'interface s'inspire de Reelswap : les jeux s'affichent comme des objets 3D sur une étagère, avec la cover art comme texture. La forme du mesh varie selon la plateforme — cartouche NES/SNES/N64/Game Boy, boîte PS1/Mega Drive/PC Engine.</w:t>
      </w:r>
    </w:p>
    <w:p>
      <w:pPr>
        <w:spacing w:after="80"/>
      </w:pPr>
      <w:r>
        <w:rPr>
          <w:color w:val="1A1A2E"/>
          <w:sz w:val="20"/>
        </w:rPr>
        <w:t>Usage initial : personnel (1 utilisateur). L'architecture supporte le multi-utilisateur sans refonte (auth Supabase activée dès le MVP).</w:t>
      </w:r>
    </w:p>
    <w:p>
      <w:pPr>
        <w:spacing w:before="480" w:after="120"/>
      </w:pPr>
      <w:r>
        <w:rPr>
          <w:b/>
          <w:color w:val="6C63FF"/>
          <w:sz w:val="28"/>
        </w:rPr>
        <w:t>3. ROADMAP</w:t>
      </w:r>
    </w:p>
    <w:tbl>
      <w:tblPr>
        <w:tblStyle w:val="TableGrid"/>
        <w:tblW w:type="auto" w:w="0"/>
        <w:jc w:val="left"/>
        <w:tblLook w:firstColumn="1" w:firstRow="1" w:lastColumn="0" w:lastRow="0" w:noHBand="0" w:noVBand="1" w:val="04A0"/>
      </w:tblPr>
      <w:tblGrid>
        <w:gridCol w:w="4537"/>
        <w:gridCol w:w="4537"/>
      </w:tblGrid>
      <w:tr>
        <w:tc>
          <w:tcPr>
            <w:tcW w:type="dxa" w:w="1417"/>
            <w:shd w:val="clear" w:color="auto" w:fill="1A1A2E"/>
            <w:tcBorders>
              <w:top w:val="single" w:sz="4" w:space="0" w:color="333366"/>
              <w:left w:val="single" w:sz="4" w:space="0" w:color="333366"/>
              <w:bottom w:val="single" w:sz="4" w:space="0" w:color="333366"/>
              <w:right w:val="single" w:sz="4" w:space="0" w:color="333366"/>
              <w:insideH w:val="single" w:sz="4" w:space="0" w:color="333366"/>
              <w:insideV w:val="single" w:sz="4" w:space="0" w:color="333366"/>
            </w:tcBorders>
          </w:tcPr>
          <w:p>
            <w:pPr>
              <w:spacing w:before="80" w:after="80"/>
            </w:pPr>
            <w:r>
              <w:rPr>
                <w:b/>
                <w:color w:val="FFFFFF"/>
                <w:sz w:val="18"/>
              </w:rPr>
              <w:t>Version</w:t>
            </w:r>
          </w:p>
        </w:tc>
        <w:tc>
          <w:tcPr>
            <w:tcW w:type="dxa" w:w="7200"/>
            <w:shd w:val="clear" w:color="auto" w:fill="1A1A2E"/>
            <w:tcBorders>
              <w:top w:val="single" w:sz="4" w:space="0" w:color="333366"/>
              <w:left w:val="single" w:sz="4" w:space="0" w:color="333366"/>
              <w:bottom w:val="single" w:sz="4" w:space="0" w:color="333366"/>
              <w:right w:val="single" w:sz="4" w:space="0" w:color="333366"/>
              <w:insideH w:val="single" w:sz="4" w:space="0" w:color="333366"/>
              <w:insideV w:val="single" w:sz="4" w:space="0" w:color="333366"/>
            </w:tcBorders>
          </w:tcPr>
          <w:p>
            <w:pPr>
              <w:spacing w:before="80" w:after="80"/>
            </w:pPr>
            <w:r>
              <w:rPr>
                <w:b/>
                <w:color w:val="FFFFFF"/>
                <w:sz w:val="18"/>
              </w:rPr>
              <w:t>Contenu</w:t>
            </w:r>
          </w:p>
        </w:tc>
      </w:tr>
      <w:tr>
        <w:tc>
          <w:tcPr>
            <w:tcW w:type="dxa" w:w="1417"/>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MVP</w:t>
            </w:r>
          </w:p>
        </w:tc>
        <w:tc>
          <w:tcPr>
            <w:tcW w:type="dxa" w:w="7200"/>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Gestion de collection — recherche, ajout, état, completion, prix achat/vente, vues shelf/list/grid, filtres, tri</w:t>
            </w:r>
          </w:p>
        </w:tc>
      </w:tr>
      <w:tr>
        <w:tc>
          <w:tcPr>
            <w:tcW w:type="dxa" w:w="1417"/>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v1.1</w:t>
            </w:r>
          </w:p>
        </w:tc>
        <w:tc>
          <w:tcPr>
            <w:tcW w:type="dxa" w:w="7200"/>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Prix marché — PriceCharting + eBay FR, refresh automatique, valeur totale de collection</w:t>
            </w:r>
          </w:p>
        </w:tc>
      </w:tr>
      <w:tr>
        <w:tc>
          <w:tcPr>
            <w:tcW w:type="dxa" w:w="1417"/>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v1.2</w:t>
            </w:r>
          </w:p>
        </w:tc>
        <w:tc>
          <w:tcPr>
            <w:tcW w:type="dxa" w:w="7200"/>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Wishlist — priorité, budget max, alerte prix</w:t>
            </w:r>
          </w:p>
        </w:tc>
      </w:tr>
      <w:tr>
        <w:tc>
          <w:tcPr>
            <w:tcW w:type="dxa" w:w="1417"/>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v2</w:t>
            </w:r>
          </w:p>
        </w:tc>
        <w:tc>
          <w:tcPr>
            <w:tcW w:type="dxa" w:w="7200"/>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Multi-utilisateur, partage de collection, scan code-barres</w:t>
            </w:r>
          </w:p>
        </w:tc>
      </w:tr>
    </w:tbl>
    <w:p/>
    <w:p>
      <w:pPr>
        <w:spacing w:before="480" w:after="120"/>
      </w:pPr>
      <w:r>
        <w:rPr>
          <w:b/>
          <w:color w:val="6C63FF"/>
          <w:sz w:val="28"/>
        </w:rPr>
        <w:t>4. PÉRIMÈTRE MVP</w:t>
      </w:r>
    </w:p>
    <w:p>
      <w:pPr>
        <w:spacing w:before="240" w:after="120"/>
      </w:pPr>
      <w:r>
        <w:rPr>
          <w:b/>
          <w:color w:val="1A1A2E"/>
          <w:sz w:val="22"/>
        </w:rPr>
        <w:t>Recherche &amp; ajout</w:t>
      </w:r>
    </w:p>
    <w:p>
      <w:pPr>
        <w:pStyle w:val="ListBullet"/>
        <w:spacing w:after="40"/>
        <w:ind w:left="454"/>
      </w:pPr>
      <w:r>
        <w:rPr>
          <w:color w:val="1A1A2E"/>
          <w:sz w:val="20"/>
        </w:rPr>
        <w:t>Recherche de jeux par titre via IGDB (on-demand, pas d'import bulk)</w:t>
      </w:r>
    </w:p>
    <w:p>
      <w:pPr>
        <w:pStyle w:val="ListBullet"/>
        <w:spacing w:after="40"/>
        <w:ind w:left="454"/>
      </w:pPr>
      <w:r>
        <w:rPr>
          <w:color w:val="1A1A2E"/>
          <w:sz w:val="20"/>
        </w:rPr>
        <w:t>Sélection dans les résultats IGDB → création de la fiche en base</w:t>
      </w:r>
    </w:p>
    <w:p>
      <w:pPr>
        <w:pStyle w:val="ListBullet"/>
        <w:spacing w:after="40"/>
        <w:ind w:left="454"/>
      </w:pPr>
      <w:r>
        <w:rPr>
          <w:color w:val="1A1A2E"/>
          <w:sz w:val="20"/>
        </w:rPr>
        <w:t>Cover art copiée dans Supabase Storage à l'ajout (pas de dépendance aux URLs IGDB)</w:t>
      </w:r>
    </w:p>
    <w:p>
      <w:pPr>
        <w:pStyle w:val="ListBullet"/>
        <w:spacing w:after="40"/>
        <w:ind w:left="454"/>
      </w:pPr>
      <w:r>
        <w:rPr>
          <w:color w:val="1A1A2E"/>
          <w:sz w:val="20"/>
        </w:rPr>
        <w:t>Toutes les plateformes disponibles sur IGDB, sans filtre</w:t>
      </w:r>
    </w:p>
    <w:p>
      <w:pPr>
        <w:spacing w:before="240" w:after="120"/>
      </w:pPr>
      <w:r>
        <w:rPr>
          <w:b/>
          <w:color w:val="1A1A2E"/>
          <w:sz w:val="22"/>
        </w:rPr>
        <w:t>Fiche jeu</w:t>
      </w:r>
    </w:p>
    <w:p>
      <w:pPr>
        <w:pStyle w:val="ListBullet"/>
        <w:spacing w:after="40"/>
        <w:ind w:left="454"/>
      </w:pPr>
      <w:r>
        <w:rPr>
          <w:color w:val="1A1A2E"/>
          <w:sz w:val="20"/>
        </w:rPr>
        <w:t>État : Mint / Very Good / Good / Fair / Poor</w:t>
      </w:r>
    </w:p>
    <w:p>
      <w:pPr>
        <w:pStyle w:val="ListBullet"/>
        <w:spacing w:after="40"/>
        <w:ind w:left="454"/>
      </w:pPr>
      <w:r>
        <w:rPr>
          <w:color w:val="1A1A2E"/>
          <w:sz w:val="20"/>
        </w:rPr>
        <w:t>Completion : Loose (cartouche seule) / CIB (boîte + notice + jeu) / Sealed (neuf sous blister)</w:t>
      </w:r>
    </w:p>
    <w:p>
      <w:pPr>
        <w:pStyle w:val="ListBullet"/>
        <w:spacing w:after="40"/>
        <w:ind w:left="454"/>
      </w:pPr>
      <w:r>
        <w:rPr>
          <w:color w:val="1A1A2E"/>
          <w:sz w:val="20"/>
        </w:rPr>
        <w:t>Prix d'achat et date d'achat</w:t>
      </w:r>
    </w:p>
    <w:p>
      <w:pPr>
        <w:pStyle w:val="ListBullet"/>
        <w:spacing w:after="40"/>
        <w:ind w:left="454"/>
      </w:pPr>
      <w:r>
        <w:rPr>
          <w:color w:val="1A1A2E"/>
          <w:sz w:val="20"/>
        </w:rPr>
        <w:t>Statut vendu : oui/non. Si oui : prix de vente et date de vente</w:t>
      </w:r>
    </w:p>
    <w:p>
      <w:pPr>
        <w:pStyle w:val="ListBullet"/>
        <w:spacing w:after="40"/>
        <w:ind w:left="454"/>
      </w:pPr>
      <w:r>
        <w:rPr>
          <w:color w:val="1A1A2E"/>
          <w:sz w:val="20"/>
        </w:rPr>
        <w:t>Notes libres</w:t>
      </w:r>
    </w:p>
    <w:p>
      <w:pPr>
        <w:spacing w:before="240" w:after="120"/>
      </w:pPr>
      <w:r>
        <w:rPr>
          <w:b/>
          <w:color w:val="1A1A2E"/>
          <w:sz w:val="22"/>
        </w:rPr>
        <w:t>Consultation de la collection</w:t>
      </w:r>
    </w:p>
    <w:p>
      <w:pPr>
        <w:spacing w:after="80"/>
      </w:pPr>
      <w:r>
        <w:rPr>
          <w:color w:val="1A1A2E"/>
          <w:sz w:val="20"/>
        </w:rPr>
        <w:t>Trois vues disponibles, basculement permanent :</w:t>
      </w:r>
    </w:p>
    <w:p>
      <w:pPr>
        <w:pStyle w:val="ListBullet"/>
        <w:spacing w:after="40"/>
        <w:ind w:left="454"/>
      </w:pPr>
      <w:r>
        <w:rPr>
          <w:color w:val="1A1A2E"/>
          <w:sz w:val="20"/>
        </w:rPr>
        <w:t>Shelf view : étagère 3D, mesh par plateforme, hover = la boîte avance et pivote légèrement</w:t>
      </w:r>
    </w:p>
    <w:p>
      <w:pPr>
        <w:pStyle w:val="ListBullet"/>
        <w:spacing w:after="40"/>
        <w:ind w:left="454"/>
      </w:pPr>
      <w:r>
        <w:rPr>
          <w:color w:val="1A1A2E"/>
          <w:sz w:val="20"/>
        </w:rPr>
        <w:t>Grid view : grille de covers 2D, dense, pour le browsing rapide</w:t>
      </w:r>
    </w:p>
    <w:p>
      <w:pPr>
        <w:pStyle w:val="ListBullet"/>
        <w:spacing w:after="40"/>
        <w:ind w:left="454"/>
      </w:pPr>
      <w:r>
        <w:rPr>
          <w:color w:val="1A1A2E"/>
          <w:sz w:val="20"/>
        </w:rPr>
        <w:t>List view : tableau, une ligne par jeu, toutes les métadonnées visibles</w:t>
      </w:r>
    </w:p>
    <w:p>
      <w:pPr>
        <w:spacing w:after="80"/>
      </w:pPr>
      <w:r>
        <w:rPr>
          <w:color w:val="1A1A2E"/>
          <w:sz w:val="20"/>
        </w:rPr>
        <w:t>Filtres (cumulables) :</w:t>
      </w:r>
    </w:p>
    <w:p>
      <w:pPr>
        <w:pStyle w:val="ListBullet"/>
        <w:spacing w:after="40"/>
        <w:ind w:left="454"/>
      </w:pPr>
      <w:r>
        <w:rPr>
          <w:color w:val="1A1A2E"/>
          <w:sz w:val="20"/>
        </w:rPr>
        <w:t>Console / plateforme</w:t>
      </w:r>
    </w:p>
    <w:p>
      <w:pPr>
        <w:pStyle w:val="ListBullet"/>
        <w:spacing w:after="40"/>
        <w:ind w:left="454"/>
      </w:pPr>
      <w:r>
        <w:rPr>
          <w:color w:val="1A1A2E"/>
          <w:sz w:val="20"/>
        </w:rPr>
        <w:t>État (Mint → Poor)</w:t>
      </w:r>
    </w:p>
    <w:p>
      <w:pPr>
        <w:pStyle w:val="ListBullet"/>
        <w:spacing w:after="40"/>
        <w:ind w:left="454"/>
      </w:pPr>
      <w:r>
        <w:rPr>
          <w:color w:val="1A1A2E"/>
          <w:sz w:val="20"/>
        </w:rPr>
        <w:t>Completion (Loose / CIB / Sealed)</w:t>
      </w:r>
    </w:p>
    <w:p>
      <w:pPr>
        <w:spacing w:after="80"/>
      </w:pPr>
      <w:r>
        <w:rPr>
          <w:color w:val="1A1A2E"/>
          <w:sz w:val="20"/>
        </w:rPr>
        <w:t>Tri :</w:t>
      </w:r>
    </w:p>
    <w:p>
      <w:pPr>
        <w:pStyle w:val="ListBullet"/>
        <w:spacing w:after="40"/>
        <w:ind w:left="454"/>
      </w:pPr>
      <w:r>
        <w:rPr>
          <w:color w:val="1A1A2E"/>
          <w:sz w:val="20"/>
        </w:rPr>
        <w:t>Date d'ajout (défaut : plus récent en premier)</w:t>
      </w:r>
    </w:p>
    <w:p>
      <w:pPr>
        <w:pStyle w:val="ListBullet"/>
        <w:spacing w:after="40"/>
        <w:ind w:left="454"/>
      </w:pPr>
      <w:r>
        <w:rPr>
          <w:color w:val="1A1A2E"/>
          <w:sz w:val="20"/>
        </w:rPr>
        <w:t>Nom (A → Z)</w:t>
      </w:r>
    </w:p>
    <w:p>
      <w:pPr>
        <w:spacing w:before="480" w:after="120"/>
      </w:pPr>
      <w:r>
        <w:rPr>
          <w:b/>
          <w:color w:val="6C63FF"/>
          <w:sz w:val="28"/>
        </w:rPr>
        <w:t>5. USER STORIES MVP</w:t>
      </w:r>
    </w:p>
    <w:tbl>
      <w:tblPr>
        <w:tblStyle w:val="TableGrid"/>
        <w:tblW w:type="auto" w:w="0"/>
        <w:jc w:val="left"/>
        <w:tblLook w:firstColumn="1" w:firstRow="1" w:lastColumn="0" w:lastRow="0" w:noHBand="0" w:noVBand="1" w:val="04A0"/>
      </w:tblPr>
      <w:tblGrid>
        <w:gridCol w:w="3025"/>
        <w:gridCol w:w="3025"/>
        <w:gridCol w:w="3025"/>
      </w:tblGrid>
      <w:tr>
        <w:tc>
          <w:tcPr>
            <w:tcW w:type="dxa" w:w="1020"/>
            <w:shd w:val="clear" w:color="auto" w:fill="1A1A2E"/>
            <w:tcBorders>
              <w:top w:val="single" w:sz="4" w:space="0" w:color="333366"/>
              <w:left w:val="single" w:sz="4" w:space="0" w:color="333366"/>
              <w:bottom w:val="single" w:sz="4" w:space="0" w:color="333366"/>
              <w:right w:val="single" w:sz="4" w:space="0" w:color="333366"/>
              <w:insideH w:val="single" w:sz="4" w:space="0" w:color="333366"/>
              <w:insideV w:val="single" w:sz="4" w:space="0" w:color="333366"/>
            </w:tcBorders>
          </w:tcPr>
          <w:p>
            <w:pPr>
              <w:spacing w:before="80" w:after="80"/>
            </w:pPr>
            <w:r>
              <w:rPr>
                <w:b/>
                <w:color w:val="FFFFFF"/>
                <w:sz w:val="18"/>
              </w:rPr>
              <w:t>#</w:t>
            </w:r>
          </w:p>
        </w:tc>
        <w:tc>
          <w:tcPr>
            <w:tcW w:type="dxa" w:w="6350"/>
            <w:shd w:val="clear" w:color="auto" w:fill="1A1A2E"/>
            <w:tcBorders>
              <w:top w:val="single" w:sz="4" w:space="0" w:color="333366"/>
              <w:left w:val="single" w:sz="4" w:space="0" w:color="333366"/>
              <w:bottom w:val="single" w:sz="4" w:space="0" w:color="333366"/>
              <w:right w:val="single" w:sz="4" w:space="0" w:color="333366"/>
              <w:insideH w:val="single" w:sz="4" w:space="0" w:color="333366"/>
              <w:insideV w:val="single" w:sz="4" w:space="0" w:color="333366"/>
            </w:tcBorders>
          </w:tcPr>
          <w:p>
            <w:pPr>
              <w:spacing w:before="80" w:after="80"/>
            </w:pPr>
            <w:r>
              <w:rPr>
                <w:b/>
                <w:color w:val="FFFFFF"/>
                <w:sz w:val="18"/>
              </w:rPr>
              <w:t>Story</w:t>
            </w:r>
          </w:p>
        </w:tc>
        <w:tc>
          <w:tcPr>
            <w:tcW w:type="dxa" w:w="1247"/>
            <w:shd w:val="clear" w:color="auto" w:fill="1A1A2E"/>
            <w:tcBorders>
              <w:top w:val="single" w:sz="4" w:space="0" w:color="333366"/>
              <w:left w:val="single" w:sz="4" w:space="0" w:color="333366"/>
              <w:bottom w:val="single" w:sz="4" w:space="0" w:color="333366"/>
              <w:right w:val="single" w:sz="4" w:space="0" w:color="333366"/>
              <w:insideH w:val="single" w:sz="4" w:space="0" w:color="333366"/>
              <w:insideV w:val="single" w:sz="4" w:space="0" w:color="333366"/>
            </w:tcBorders>
          </w:tcPr>
          <w:p>
            <w:pPr>
              <w:spacing w:before="80" w:after="80"/>
            </w:pPr>
            <w:r>
              <w:rPr>
                <w:b/>
                <w:color w:val="FFFFFF"/>
                <w:sz w:val="18"/>
              </w:rPr>
              <w:t>Priorité</w:t>
            </w:r>
          </w:p>
        </w:tc>
      </w:tr>
      <w:tr>
        <w:tc>
          <w:tcPr>
            <w:tcW w:type="dxa" w:w="1020"/>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US-01</w:t>
            </w:r>
          </w:p>
        </w:tc>
        <w:tc>
          <w:tcPr>
            <w:tcW w:type="dxa" w:w="6350"/>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Je tape un titre, je vois les résultats IGDB avec cover et plateforme, je sélectionne le bon jeu et il apparaît dans ma collection.</w:t>
            </w:r>
          </w:p>
        </w:tc>
        <w:tc>
          <w:tcPr>
            <w:tcW w:type="dxa" w:w="1247"/>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P0</w:t>
            </w:r>
          </w:p>
        </w:tc>
      </w:tr>
      <w:tr>
        <w:tc>
          <w:tcPr>
            <w:tcW w:type="dxa" w:w="1020"/>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US-02</w:t>
            </w:r>
          </w:p>
        </w:tc>
        <w:tc>
          <w:tcPr>
            <w:tcW w:type="dxa" w:w="6350"/>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Lors de l'ajout, je renseigne l'état, la completion et le prix d'achat.</w:t>
            </w:r>
          </w:p>
        </w:tc>
        <w:tc>
          <w:tcPr>
            <w:tcW w:type="dxa" w:w="1247"/>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P0</w:t>
            </w:r>
          </w:p>
        </w:tc>
      </w:tr>
      <w:tr>
        <w:tc>
          <w:tcPr>
            <w:tcW w:type="dxa" w:w="1020"/>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US-03</w:t>
            </w:r>
          </w:p>
        </w:tc>
        <w:tc>
          <w:tcPr>
            <w:tcW w:type="dxa" w:w="6350"/>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Je consulte ma collection en shelf view 3D — les boîtes sont alignées sur une étagère, la forme varie selon la plateforme.</w:t>
            </w:r>
          </w:p>
        </w:tc>
        <w:tc>
          <w:tcPr>
            <w:tcW w:type="dxa" w:w="1247"/>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P0</w:t>
            </w:r>
          </w:p>
        </w:tc>
      </w:tr>
      <w:tr>
        <w:tc>
          <w:tcPr>
            <w:tcW w:type="dxa" w:w="1020"/>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US-04</w:t>
            </w:r>
          </w:p>
        </w:tc>
        <w:tc>
          <w:tcPr>
            <w:tcW w:type="dxa" w:w="6350"/>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Je bascule entre shelf view, grid view et list view depuis un sélecteur permanent.</w:t>
            </w:r>
          </w:p>
        </w:tc>
        <w:tc>
          <w:tcPr>
            <w:tcW w:type="dxa" w:w="1247"/>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P0</w:t>
            </w:r>
          </w:p>
        </w:tc>
      </w:tr>
      <w:tr>
        <w:tc>
          <w:tcPr>
            <w:tcW w:type="dxa" w:w="1020"/>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US-05</w:t>
            </w:r>
          </w:p>
        </w:tc>
        <w:tc>
          <w:tcPr>
            <w:tcW w:type="dxa" w:w="6350"/>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Je filtre ma collection par plateforme, état ou completion. Les filtres sont cumulables.</w:t>
            </w:r>
          </w:p>
        </w:tc>
        <w:tc>
          <w:tcPr>
            <w:tcW w:type="dxa" w:w="1247"/>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P1</w:t>
            </w:r>
          </w:p>
        </w:tc>
      </w:tr>
      <w:tr>
        <w:tc>
          <w:tcPr>
            <w:tcW w:type="dxa" w:w="1020"/>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US-06</w:t>
            </w:r>
          </w:p>
        </w:tc>
        <w:tc>
          <w:tcPr>
            <w:tcW w:type="dxa" w:w="6350"/>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Je trie ma collection par date d'ajout ou par nom.</w:t>
            </w:r>
          </w:p>
        </w:tc>
        <w:tc>
          <w:tcPr>
            <w:tcW w:type="dxa" w:w="1247"/>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P1</w:t>
            </w:r>
          </w:p>
        </w:tc>
      </w:tr>
      <w:tr>
        <w:tc>
          <w:tcPr>
            <w:tcW w:type="dxa" w:w="1020"/>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US-07</w:t>
            </w:r>
          </w:p>
        </w:tc>
        <w:tc>
          <w:tcPr>
            <w:tcW w:type="dxa" w:w="6350"/>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Je marque un jeu comme vendu, je saisis le prix de vente. Le jeu reste visible dans la collection avec un badge "Vendu".</w:t>
            </w:r>
          </w:p>
        </w:tc>
        <w:tc>
          <w:tcPr>
            <w:tcW w:type="dxa" w:w="1247"/>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P1</w:t>
            </w:r>
          </w:p>
        </w:tc>
      </w:tr>
      <w:tr>
        <w:tc>
          <w:tcPr>
            <w:tcW w:type="dxa" w:w="1020"/>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US-08</w:t>
            </w:r>
          </w:p>
        </w:tc>
        <w:tc>
          <w:tcPr>
            <w:tcW w:type="dxa" w:w="6350"/>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Je peux modifier la fiche d'un jeu à tout moment (état, completion, prix, notes).</w:t>
            </w:r>
          </w:p>
        </w:tc>
        <w:tc>
          <w:tcPr>
            <w:tcW w:type="dxa" w:w="1247"/>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P1</w:t>
            </w:r>
          </w:p>
        </w:tc>
      </w:tr>
      <w:tr>
        <w:tc>
          <w:tcPr>
            <w:tcW w:type="dxa" w:w="1020"/>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US-09</w:t>
            </w:r>
          </w:p>
        </w:tc>
        <w:tc>
          <w:tcPr>
            <w:tcW w:type="dxa" w:w="6350"/>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Je supprime un jeu de ma collection.</w:t>
            </w:r>
          </w:p>
        </w:tc>
        <w:tc>
          <w:tcPr>
            <w:tcW w:type="dxa" w:w="1247"/>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P2</w:t>
            </w:r>
          </w:p>
        </w:tc>
      </w:tr>
    </w:tbl>
    <w:p/>
    <w:p>
      <w:pPr>
        <w:spacing w:before="480" w:after="120"/>
      </w:pPr>
      <w:r>
        <w:rPr>
          <w:b/>
          <w:color w:val="6C63FF"/>
          <w:sz w:val="28"/>
        </w:rPr>
        <w:t>6. ARCHITECTURE TECHNIQUE</w:t>
      </w:r>
    </w:p>
    <w:tbl>
      <w:tblPr>
        <w:tblStyle w:val="TableGrid"/>
        <w:tblW w:type="auto" w:w="0"/>
        <w:jc w:val="left"/>
        <w:tblLook w:firstColumn="1" w:firstRow="1" w:lastColumn="0" w:lastRow="0" w:noHBand="0" w:noVBand="1" w:val="04A0"/>
      </w:tblPr>
      <w:tblGrid>
        <w:gridCol w:w="3025"/>
        <w:gridCol w:w="3025"/>
        <w:gridCol w:w="3025"/>
      </w:tblGrid>
      <w:tr>
        <w:tc>
          <w:tcPr>
            <w:tcW w:type="dxa" w:w="1814"/>
            <w:shd w:val="clear" w:color="auto" w:fill="1A1A2E"/>
            <w:tcBorders>
              <w:top w:val="single" w:sz="4" w:space="0" w:color="333366"/>
              <w:left w:val="single" w:sz="4" w:space="0" w:color="333366"/>
              <w:bottom w:val="single" w:sz="4" w:space="0" w:color="333366"/>
              <w:right w:val="single" w:sz="4" w:space="0" w:color="333366"/>
              <w:insideH w:val="single" w:sz="4" w:space="0" w:color="333366"/>
              <w:insideV w:val="single" w:sz="4" w:space="0" w:color="333366"/>
            </w:tcBorders>
          </w:tcPr>
          <w:p>
            <w:pPr>
              <w:spacing w:before="80" w:after="80"/>
            </w:pPr>
            <w:r>
              <w:rPr>
                <w:b/>
                <w:color w:val="FFFFFF"/>
                <w:sz w:val="18"/>
              </w:rPr>
              <w:t>Couche</w:t>
            </w:r>
          </w:p>
        </w:tc>
        <w:tc>
          <w:tcPr>
            <w:tcW w:type="dxa" w:w="2721"/>
            <w:shd w:val="clear" w:color="auto" w:fill="1A1A2E"/>
            <w:tcBorders>
              <w:top w:val="single" w:sz="4" w:space="0" w:color="333366"/>
              <w:left w:val="single" w:sz="4" w:space="0" w:color="333366"/>
              <w:bottom w:val="single" w:sz="4" w:space="0" w:color="333366"/>
              <w:right w:val="single" w:sz="4" w:space="0" w:color="333366"/>
              <w:insideH w:val="single" w:sz="4" w:space="0" w:color="333366"/>
              <w:insideV w:val="single" w:sz="4" w:space="0" w:color="333366"/>
            </w:tcBorders>
          </w:tcPr>
          <w:p>
            <w:pPr>
              <w:spacing w:before="80" w:after="80"/>
            </w:pPr>
            <w:r>
              <w:rPr>
                <w:b/>
                <w:color w:val="FFFFFF"/>
                <w:sz w:val="18"/>
              </w:rPr>
              <w:t>Technologie</w:t>
            </w:r>
          </w:p>
        </w:tc>
        <w:tc>
          <w:tcPr>
            <w:tcW w:type="dxa" w:w="4082"/>
            <w:shd w:val="clear" w:color="auto" w:fill="1A1A2E"/>
            <w:tcBorders>
              <w:top w:val="single" w:sz="4" w:space="0" w:color="333366"/>
              <w:left w:val="single" w:sz="4" w:space="0" w:color="333366"/>
              <w:bottom w:val="single" w:sz="4" w:space="0" w:color="333366"/>
              <w:right w:val="single" w:sz="4" w:space="0" w:color="333366"/>
              <w:insideH w:val="single" w:sz="4" w:space="0" w:color="333366"/>
              <w:insideV w:val="single" w:sz="4" w:space="0" w:color="333366"/>
            </w:tcBorders>
          </w:tcPr>
          <w:p>
            <w:pPr>
              <w:spacing w:before="80" w:after="80"/>
            </w:pPr>
            <w:r>
              <w:rPr>
                <w:b/>
                <w:color w:val="FFFFFF"/>
                <w:sz w:val="18"/>
              </w:rPr>
              <w:t>Rôle</w:t>
            </w:r>
          </w:p>
        </w:tc>
      </w:tr>
      <w:tr>
        <w:tc>
          <w:tcPr>
            <w:tcW w:type="dxa" w:w="1814"/>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Frontend</w:t>
            </w:r>
          </w:p>
        </w:tc>
        <w:tc>
          <w:tcPr>
            <w:tcW w:type="dxa" w:w="2721"/>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Next.js 15 (App Router)</w:t>
            </w:r>
          </w:p>
        </w:tc>
        <w:tc>
          <w:tcPr>
            <w:tcW w:type="dxa" w:w="4082"/>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UI, Server Components, API Routes</w:t>
            </w:r>
          </w:p>
        </w:tc>
      </w:tr>
      <w:tr>
        <w:tc>
          <w:tcPr>
            <w:tcW w:type="dxa" w:w="1814"/>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3D</w:t>
            </w:r>
          </w:p>
        </w:tc>
        <w:tc>
          <w:tcPr>
            <w:tcW w:type="dxa" w:w="2721"/>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React Three Fiber + @react-three/drei</w:t>
            </w:r>
          </w:p>
        </w:tc>
        <w:tc>
          <w:tcPr>
            <w:tcW w:type="dxa" w:w="4082"/>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Shelf view, meshes par plateforme</w:t>
            </w:r>
          </w:p>
        </w:tc>
      </w:tr>
      <w:tr>
        <w:tc>
          <w:tcPr>
            <w:tcW w:type="dxa" w:w="1814"/>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Animations</w:t>
            </w:r>
          </w:p>
        </w:tc>
        <w:tc>
          <w:tcPr>
            <w:tcW w:type="dxa" w:w="2721"/>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Framer Motion + @react-spring/three</w:t>
            </w:r>
          </w:p>
        </w:tc>
        <w:tc>
          <w:tcPr>
            <w:tcW w:type="dxa" w:w="4082"/>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Hover, transitions, rotation objet</w:t>
            </w:r>
          </w:p>
        </w:tc>
      </w:tr>
      <w:tr>
        <w:tc>
          <w:tcPr>
            <w:tcW w:type="dxa" w:w="1814"/>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UI primitives</w:t>
            </w:r>
          </w:p>
        </w:tc>
        <w:tc>
          <w:tcPr>
            <w:tcW w:type="dxa" w:w="2721"/>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Radix UI + Tailwind CSS</w:t>
            </w:r>
          </w:p>
        </w:tc>
        <w:tc>
          <w:tcPr>
            <w:tcW w:type="dxa" w:w="4082"/>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Composants accessibles, stylés custom</w:t>
            </w:r>
          </w:p>
        </w:tc>
      </w:tr>
      <w:tr>
        <w:tc>
          <w:tcPr>
            <w:tcW w:type="dxa" w:w="1814"/>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Validation</w:t>
            </w:r>
          </w:p>
        </w:tc>
        <w:tc>
          <w:tcPr>
            <w:tcW w:type="dxa" w:w="2721"/>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Zod</w:t>
            </w:r>
          </w:p>
        </w:tc>
        <w:tc>
          <w:tcPr>
            <w:tcW w:type="dxa" w:w="4082"/>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Données IGDB avant insertion</w:t>
            </w:r>
          </w:p>
        </w:tc>
      </w:tr>
      <w:tr>
        <w:tc>
          <w:tcPr>
            <w:tcW w:type="dxa" w:w="1814"/>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Cache client</w:t>
            </w:r>
          </w:p>
        </w:tc>
        <w:tc>
          <w:tcPr>
            <w:tcW w:type="dxa" w:w="2721"/>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TanStack Query</w:t>
            </w:r>
          </w:p>
        </w:tc>
        <w:tc>
          <w:tcPr>
            <w:tcW w:type="dxa" w:w="4082"/>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Fetching, cache, revalidation</w:t>
            </w:r>
          </w:p>
        </w:tc>
      </w:tr>
      <w:tr>
        <w:tc>
          <w:tcPr>
            <w:tcW w:type="dxa" w:w="1814"/>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Base de données</w:t>
            </w:r>
          </w:p>
        </w:tc>
        <w:tc>
          <w:tcPr>
            <w:tcW w:type="dxa" w:w="2721"/>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Supabase (PostgreSQL)</w:t>
            </w:r>
          </w:p>
        </w:tc>
        <w:tc>
          <w:tcPr>
            <w:tcW w:type="dxa" w:w="4082"/>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6 tables MVP, RLS activé</w:t>
            </w:r>
          </w:p>
        </w:tc>
      </w:tr>
      <w:tr>
        <w:tc>
          <w:tcPr>
            <w:tcW w:type="dxa" w:w="1814"/>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Auth</w:t>
            </w:r>
          </w:p>
        </w:tc>
        <w:tc>
          <w:tcPr>
            <w:tcW w:type="dxa" w:w="2721"/>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Supabase Auth</w:t>
            </w:r>
          </w:p>
        </w:tc>
        <w:tc>
          <w:tcPr>
            <w:tcW w:type="dxa" w:w="4082"/>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Prêt pour multi-user sans refonte</w:t>
            </w:r>
          </w:p>
        </w:tc>
      </w:tr>
      <w:tr>
        <w:tc>
          <w:tcPr>
            <w:tcW w:type="dxa" w:w="1814"/>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Storage</w:t>
            </w:r>
          </w:p>
        </w:tc>
        <w:tc>
          <w:tcPr>
            <w:tcW w:type="dxa" w:w="2721"/>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Supabase Storage</w:t>
            </w:r>
          </w:p>
        </w:tc>
        <w:tc>
          <w:tcPr>
            <w:tcW w:type="dxa" w:w="4082"/>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Cover art des jeux</w:t>
            </w:r>
          </w:p>
        </w:tc>
      </w:tr>
      <w:tr>
        <w:tc>
          <w:tcPr>
            <w:tcW w:type="dxa" w:w="1814"/>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Deploy</w:t>
            </w:r>
          </w:p>
        </w:tc>
        <w:tc>
          <w:tcPr>
            <w:tcW w:type="dxa" w:w="2721"/>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Vercel</w:t>
            </w:r>
          </w:p>
        </w:tc>
        <w:tc>
          <w:tcPr>
            <w:tcW w:type="dxa" w:w="4082"/>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Frontend, variables d'environnement</w:t>
            </w:r>
          </w:p>
        </w:tc>
      </w:tr>
    </w:tbl>
    <w:p/>
    <w:p>
      <w:pPr>
        <w:spacing w:before="240" w:after="120"/>
      </w:pPr>
      <w:r>
        <w:rPr>
          <w:b/>
          <w:color w:val="1A1A2E"/>
          <w:sz w:val="22"/>
        </w:rPr>
        <w:t>Schéma de base de données (MVP)</w:t>
      </w:r>
    </w:p>
    <w:p>
      <w:pPr>
        <w:spacing w:after="80"/>
      </w:pPr>
      <w:r>
        <w:rPr>
          <w:color w:val="1A1A2E"/>
          <w:sz w:val="20"/>
        </w:rPr>
        <w:t>6 tables : PLATFORM, GAME, GENRE, PUBLISHER, GAME_COMPANY, COLLECTION.</w:t>
      </w:r>
    </w:p>
    <w:p>
      <w:pPr>
        <w:spacing w:after="80"/>
      </w:pPr>
      <w:r>
        <w:rPr>
          <w:color w:val="1A1A2E"/>
          <w:sz w:val="20"/>
        </w:rPr>
        <w:t>La table COLLECTION concentre toutes les données propres à l'utilisateur : état, completion, prix d'achat, date d'achat, statut vendu, prix de vente, date de vente, notes. PLATFORM, GAME, GENRE et PUBLISHER exposent un champ igdb_id (INT, unique) pour éviter les doublons. Les appels IGDB sont proxifiés via une Next.js API Route — le token Twitch ne quitte pas le serveur.</w:t>
      </w:r>
    </w:p>
    <w:p>
      <w:pPr>
        <w:spacing w:after="80"/>
      </w:pPr>
      <w:r>
        <w:rPr>
          <w:color w:val="1A1A2E"/>
          <w:sz w:val="20"/>
        </w:rPr>
        <w:t>Les tables WISHLIST et MARKET_PRICE sont présentes dans le schéma dès le MVP (migrations propres) mais non alimentées — elles évitent une refonte au moment de la v1.1.</w:t>
      </w:r>
    </w:p>
    <w:p>
      <w:pPr>
        <w:spacing w:before="480" w:after="120"/>
      </w:pPr>
      <w:r>
        <w:rPr>
          <w:b/>
          <w:color w:val="6C63FF"/>
          <w:sz w:val="28"/>
        </w:rPr>
        <w:t>7. DESIGN &amp; UX</w:t>
      </w:r>
    </w:p>
    <w:p>
      <w:pPr>
        <w:spacing w:before="240" w:after="120"/>
      </w:pPr>
      <w:r>
        <w:rPr>
          <w:b/>
          <w:color w:val="1A1A2E"/>
          <w:sz w:val="22"/>
        </w:rPr>
        <w:t>Identité visuelle</w:t>
      </w:r>
    </w:p>
    <w:p>
      <w:pPr>
        <w:pStyle w:val="ListBullet"/>
        <w:spacing w:after="40"/>
        <w:ind w:left="454"/>
      </w:pPr>
      <w:r>
        <w:rPr>
          <w:color w:val="1A1A2E"/>
          <w:sz w:val="20"/>
        </w:rPr>
        <w:t>Référence principale : Reelswap (collection de VHS en 3D sur étagère)</w:t>
      </w:r>
    </w:p>
    <w:p>
      <w:pPr>
        <w:pStyle w:val="ListBullet"/>
        <w:spacing w:after="40"/>
        <w:ind w:left="454"/>
      </w:pPr>
      <w:r>
        <w:rPr>
          <w:color w:val="1A1A2E"/>
          <w:sz w:val="20"/>
        </w:rPr>
        <w:t>Dark mode exclusif — fond #0A0A0A</w:t>
      </w:r>
    </w:p>
    <w:p>
      <w:pPr>
        <w:pStyle w:val="ListBullet"/>
        <w:spacing w:after="40"/>
        <w:ind w:left="454"/>
      </w:pPr>
      <w:r>
        <w:rPr>
          <w:color w:val="1A1A2E"/>
          <w:sz w:val="20"/>
        </w:rPr>
        <w:t>Un seul accent couleur (à définir — voir Questions ouvertes)</w:t>
      </w:r>
    </w:p>
    <w:p>
      <w:pPr>
        <w:pStyle w:val="ListBullet"/>
        <w:spacing w:after="40"/>
        <w:ind w:left="454"/>
      </w:pPr>
      <w:r>
        <w:rPr>
          <w:color w:val="1A1A2E"/>
          <w:sz w:val="20"/>
        </w:rPr>
        <w:t>Typographie : sans-serif moderne (pas de pixel font)</w:t>
      </w:r>
    </w:p>
    <w:p>
      <w:pPr>
        <w:pStyle w:val="ListBullet"/>
        <w:spacing w:after="40"/>
        <w:ind w:left="454"/>
      </w:pPr>
      <w:r>
        <w:rPr>
          <w:color w:val="1A1A2E"/>
          <w:sz w:val="20"/>
        </w:rPr>
        <w:t>Principe : la cover art est le héros. Les composants UI s'effacent derrière.</w:t>
      </w:r>
    </w:p>
    <w:p>
      <w:pPr>
        <w:spacing w:before="240" w:after="120"/>
      </w:pPr>
      <w:r>
        <w:rPr>
          <w:b/>
          <w:color w:val="1A1A2E"/>
          <w:sz w:val="22"/>
        </w:rPr>
        <w:t>Vues</w:t>
      </w:r>
    </w:p>
    <w:tbl>
      <w:tblPr>
        <w:tblStyle w:val="TableGrid"/>
        <w:tblW w:type="auto" w:w="0"/>
        <w:jc w:val="left"/>
        <w:tblLook w:firstColumn="1" w:firstRow="1" w:lastColumn="0" w:lastRow="0" w:noHBand="0" w:noVBand="1" w:val="04A0"/>
      </w:tblPr>
      <w:tblGrid>
        <w:gridCol w:w="3025"/>
        <w:gridCol w:w="3025"/>
        <w:gridCol w:w="3025"/>
      </w:tblGrid>
      <w:tr>
        <w:tc>
          <w:tcPr>
            <w:tcW w:type="dxa" w:w="1701"/>
            <w:shd w:val="clear" w:color="auto" w:fill="1A1A2E"/>
            <w:tcBorders>
              <w:top w:val="single" w:sz="4" w:space="0" w:color="333366"/>
              <w:left w:val="single" w:sz="4" w:space="0" w:color="333366"/>
              <w:bottom w:val="single" w:sz="4" w:space="0" w:color="333366"/>
              <w:right w:val="single" w:sz="4" w:space="0" w:color="333366"/>
              <w:insideH w:val="single" w:sz="4" w:space="0" w:color="333366"/>
              <w:insideV w:val="single" w:sz="4" w:space="0" w:color="333366"/>
            </w:tcBorders>
          </w:tcPr>
          <w:p>
            <w:pPr>
              <w:spacing w:before="80" w:after="80"/>
            </w:pPr>
            <w:r>
              <w:rPr>
                <w:b/>
                <w:color w:val="FFFFFF"/>
                <w:sz w:val="18"/>
              </w:rPr>
              <w:t>Vue</w:t>
            </w:r>
          </w:p>
        </w:tc>
        <w:tc>
          <w:tcPr>
            <w:tcW w:type="dxa" w:w="4819"/>
            <w:shd w:val="clear" w:color="auto" w:fill="1A1A2E"/>
            <w:tcBorders>
              <w:top w:val="single" w:sz="4" w:space="0" w:color="333366"/>
              <w:left w:val="single" w:sz="4" w:space="0" w:color="333366"/>
              <w:bottom w:val="single" w:sz="4" w:space="0" w:color="333366"/>
              <w:right w:val="single" w:sz="4" w:space="0" w:color="333366"/>
              <w:insideH w:val="single" w:sz="4" w:space="0" w:color="333366"/>
              <w:insideV w:val="single" w:sz="4" w:space="0" w:color="333366"/>
            </w:tcBorders>
          </w:tcPr>
          <w:p>
            <w:pPr>
              <w:spacing w:before="80" w:after="80"/>
            </w:pPr>
            <w:r>
              <w:rPr>
                <w:b/>
                <w:color w:val="FFFFFF"/>
                <w:sz w:val="18"/>
              </w:rPr>
              <w:t>Description</w:t>
            </w:r>
          </w:p>
        </w:tc>
        <w:tc>
          <w:tcPr>
            <w:tcW w:type="dxa" w:w="2098"/>
            <w:shd w:val="clear" w:color="auto" w:fill="1A1A2E"/>
            <w:tcBorders>
              <w:top w:val="single" w:sz="4" w:space="0" w:color="333366"/>
              <w:left w:val="single" w:sz="4" w:space="0" w:color="333366"/>
              <w:bottom w:val="single" w:sz="4" w:space="0" w:color="333366"/>
              <w:right w:val="single" w:sz="4" w:space="0" w:color="333366"/>
              <w:insideH w:val="single" w:sz="4" w:space="0" w:color="333366"/>
              <w:insideV w:val="single" w:sz="4" w:space="0" w:color="333366"/>
            </w:tcBorders>
          </w:tcPr>
          <w:p>
            <w:pPr>
              <w:spacing w:before="80" w:after="80"/>
            </w:pPr>
            <w:r>
              <w:rPr>
                <w:b/>
                <w:color w:val="FFFFFF"/>
                <w:sz w:val="18"/>
              </w:rPr>
              <w:t>Technologie</w:t>
            </w:r>
          </w:p>
        </w:tc>
      </w:tr>
      <w:tr>
        <w:tc>
          <w:tcPr>
            <w:tcW w:type="dxa" w:w="1701"/>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Shelf view (défaut)</w:t>
            </w:r>
          </w:p>
        </w:tc>
        <w:tc>
          <w:tcPr>
            <w:tcW w:type="dxa" w:w="4819"/>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Boîtes 3D sur étagère. Hover : la boîte avance vers l'utilisateur avec une légère rotation. Mesh différent par plateforme (cartouche vs boîte).</w:t>
            </w:r>
          </w:p>
        </w:tc>
        <w:tc>
          <w:tcPr>
            <w:tcW w:type="dxa" w:w="2098"/>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React Three Fiber</w:t>
            </w:r>
          </w:p>
        </w:tc>
      </w:tr>
      <w:tr>
        <w:tc>
          <w:tcPr>
            <w:tcW w:type="dxa" w:w="1701"/>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Grid view</w:t>
            </w:r>
          </w:p>
        </w:tc>
        <w:tc>
          <w:tcPr>
            <w:tcW w:type="dxa" w:w="4819"/>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Grille de covers 2D, dense, pour le browsing rapide.</w:t>
            </w:r>
          </w:p>
        </w:tc>
        <w:tc>
          <w:tcPr>
            <w:tcW w:type="dxa" w:w="2098"/>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CSS Grid + Next/Image</w:t>
            </w:r>
          </w:p>
        </w:tc>
      </w:tr>
      <w:tr>
        <w:tc>
          <w:tcPr>
            <w:tcW w:type="dxa" w:w="1701"/>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List view</w:t>
            </w:r>
          </w:p>
        </w:tc>
        <w:tc>
          <w:tcPr>
            <w:tcW w:type="dxa" w:w="4819"/>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Tableau, une ligne par jeu — toutes les métadonnées visibles sans clic supplémentaire.</w:t>
            </w:r>
          </w:p>
        </w:tc>
        <w:tc>
          <w:tcPr>
            <w:tcW w:type="dxa" w:w="2098"/>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Table HTML</w:t>
            </w:r>
          </w:p>
        </w:tc>
      </w:tr>
      <w:tr>
        <w:tc>
          <w:tcPr>
            <w:tcW w:type="dxa" w:w="1701"/>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Detail view (overlay)</w:t>
            </w:r>
          </w:p>
        </w:tc>
        <w:tc>
          <w:tcPr>
            <w:tcW w:type="dxa" w:w="4819"/>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Objet 3D interactif (drag pour rotation 360°). Métadonnées complètes, formulaire d'édition.</w:t>
            </w:r>
          </w:p>
        </w:tc>
        <w:tc>
          <w:tcPr>
            <w:tcW w:type="dxa" w:w="2098"/>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React Three Fiber + Framer Motion</w:t>
            </w:r>
          </w:p>
        </w:tc>
      </w:tr>
    </w:tbl>
    <w:p/>
    <w:p>
      <w:pPr>
        <w:spacing w:before="480" w:after="120"/>
      </w:pPr>
      <w:r>
        <w:rPr>
          <w:b/>
          <w:color w:val="6C63FF"/>
          <w:sz w:val="28"/>
        </w:rPr>
        <w:t>8. INTÉGRATION API (MVP)</w:t>
      </w:r>
    </w:p>
    <w:p>
      <w:pPr>
        <w:spacing w:before="240" w:after="120"/>
      </w:pPr>
      <w:r>
        <w:rPr>
          <w:b/>
          <w:color w:val="1A1A2E"/>
          <w:sz w:val="22"/>
        </w:rPr>
        <w:t>IGDB (Twitch)</w:t>
      </w:r>
    </w:p>
    <w:tbl>
      <w:tblPr>
        <w:tblStyle w:val="TableGrid"/>
        <w:tblW w:type="auto" w:w="0"/>
        <w:jc w:val="left"/>
        <w:tblLook w:firstColumn="1" w:firstRow="1" w:lastColumn="0" w:lastRow="0" w:noHBand="0" w:noVBand="1" w:val="04A0"/>
      </w:tblPr>
      <w:tblGrid>
        <w:gridCol w:w="4537"/>
        <w:gridCol w:w="4537"/>
      </w:tblGrid>
      <w:tr>
        <w:tc>
          <w:tcPr>
            <w:tcW w:type="dxa" w:w="1984"/>
            <w:shd w:val="clear" w:color="auto" w:fill="1A1A2E"/>
            <w:tcBorders>
              <w:top w:val="single" w:sz="4" w:space="0" w:color="333366"/>
              <w:left w:val="single" w:sz="4" w:space="0" w:color="333366"/>
              <w:bottom w:val="single" w:sz="4" w:space="0" w:color="333366"/>
              <w:right w:val="single" w:sz="4" w:space="0" w:color="333366"/>
              <w:insideH w:val="single" w:sz="4" w:space="0" w:color="333366"/>
              <w:insideV w:val="single" w:sz="4" w:space="0" w:color="333366"/>
            </w:tcBorders>
          </w:tcPr>
          <w:p>
            <w:pPr>
              <w:spacing w:before="80" w:after="80"/>
            </w:pPr>
            <w:r>
              <w:rPr>
                <w:b/>
                <w:color w:val="FFFFFF"/>
                <w:sz w:val="18"/>
              </w:rPr>
              <w:t>Paramètre</w:t>
            </w:r>
          </w:p>
        </w:tc>
        <w:tc>
          <w:tcPr>
            <w:tcW w:type="dxa" w:w="6633"/>
            <w:shd w:val="clear" w:color="auto" w:fill="1A1A2E"/>
            <w:tcBorders>
              <w:top w:val="single" w:sz="4" w:space="0" w:color="333366"/>
              <w:left w:val="single" w:sz="4" w:space="0" w:color="333366"/>
              <w:bottom w:val="single" w:sz="4" w:space="0" w:color="333366"/>
              <w:right w:val="single" w:sz="4" w:space="0" w:color="333366"/>
              <w:insideH w:val="single" w:sz="4" w:space="0" w:color="333366"/>
              <w:insideV w:val="single" w:sz="4" w:space="0" w:color="333366"/>
            </w:tcBorders>
          </w:tcPr>
          <w:p>
            <w:pPr>
              <w:spacing w:before="80" w:after="80"/>
            </w:pPr>
            <w:r>
              <w:rPr>
                <w:b/>
                <w:color w:val="FFFFFF"/>
                <w:sz w:val="18"/>
              </w:rPr>
              <w:t>Valeur</w:t>
            </w:r>
          </w:p>
        </w:tc>
      </w:tr>
      <w:tr>
        <w:tc>
          <w:tcPr>
            <w:tcW w:type="dxa" w:w="1984"/>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Auth</w:t>
            </w:r>
          </w:p>
        </w:tc>
        <w:tc>
          <w:tcPr>
            <w:tcW w:type="dxa" w:w="6633"/>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OAuth2 Client Credentials — token côté serveur, refresh automatique</w:t>
            </w:r>
          </w:p>
        </w:tc>
      </w:tr>
      <w:tr>
        <w:tc>
          <w:tcPr>
            <w:tcW w:type="dxa" w:w="1984"/>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Base URL</w:t>
            </w:r>
          </w:p>
        </w:tc>
        <w:tc>
          <w:tcPr>
            <w:tcW w:type="dxa" w:w="6633"/>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https://api.igdb.com/v4</w:t>
            </w:r>
          </w:p>
        </w:tc>
      </w:tr>
      <w:tr>
        <w:tc>
          <w:tcPr>
            <w:tcW w:type="dxa" w:w="1984"/>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Endpoints</w:t>
            </w:r>
          </w:p>
        </w:tc>
        <w:tc>
          <w:tcPr>
            <w:tcW w:type="dxa" w:w="6633"/>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/games, /covers, /platforms, /genres, /involved_companies, /companies</w:t>
            </w:r>
          </w:p>
        </w:tc>
      </w:tr>
      <w:tr>
        <w:tc>
          <w:tcPr>
            <w:tcW w:type="dxa" w:w="1984"/>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Langage</w:t>
            </w:r>
          </w:p>
        </w:tc>
        <w:tc>
          <w:tcPr>
            <w:tcW w:type="dxa" w:w="6633"/>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Apicalypse (body de la requête POST)</w:t>
            </w:r>
          </w:p>
        </w:tc>
      </w:tr>
      <w:tr>
        <w:tc>
          <w:tcPr>
            <w:tcW w:type="dxa" w:w="1984"/>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Usage</w:t>
            </w:r>
          </w:p>
        </w:tc>
        <w:tc>
          <w:tcPr>
            <w:tcW w:type="dxa" w:w="6633"/>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Search on-demand uniquement — pas d'import bulk</w:t>
            </w:r>
          </w:p>
        </w:tc>
      </w:tr>
    </w:tbl>
    <w:p/>
    <w:p>
      <w:pPr>
        <w:spacing w:after="80"/>
      </w:pPr>
      <w:r>
        <w:rPr>
          <w:color w:val="1A1A2E"/>
          <w:sz w:val="20"/>
        </w:rPr>
        <w:t>PriceCharting et eBay FR sont hors scope MVP — intégration prévue en v1.1.</w:t>
      </w:r>
    </w:p>
    <w:p>
      <w:pPr>
        <w:spacing w:before="480" w:after="120"/>
      </w:pPr>
      <w:r>
        <w:rPr>
          <w:b/>
          <w:color w:val="6C63FF"/>
          <w:sz w:val="28"/>
        </w:rPr>
        <w:t>9. HORS SCOPE MVP</w:t>
      </w:r>
    </w:p>
    <w:p>
      <w:pPr>
        <w:pStyle w:val="ListBullet"/>
        <w:spacing w:after="40"/>
        <w:ind w:left="454"/>
      </w:pPr>
      <w:r>
        <w:rPr>
          <w:color w:val="1A1A2E"/>
          <w:sz w:val="20"/>
        </w:rPr>
        <w:t>Prix marché (PriceCharting, eBay FR) — prévu v1.1</w:t>
      </w:r>
    </w:p>
    <w:p>
      <w:pPr>
        <w:pStyle w:val="ListBullet"/>
        <w:spacing w:after="40"/>
        <w:ind w:left="454"/>
      </w:pPr>
      <w:r>
        <w:rPr>
          <w:color w:val="1A1A2E"/>
          <w:sz w:val="20"/>
        </w:rPr>
        <w:t>Wishlist — prévue v1.2</w:t>
      </w:r>
    </w:p>
    <w:p>
      <w:pPr>
        <w:pStyle w:val="ListBullet"/>
        <w:spacing w:after="40"/>
        <w:ind w:left="454"/>
      </w:pPr>
      <w:r>
        <w:rPr>
          <w:color w:val="1A1A2E"/>
          <w:sz w:val="20"/>
        </w:rPr>
        <w:t>Multi-utilisateur et partage de collection — prévu v2</w:t>
      </w:r>
    </w:p>
    <w:p>
      <w:pPr>
        <w:pStyle w:val="ListBullet"/>
        <w:spacing w:after="40"/>
        <w:ind w:left="454"/>
      </w:pPr>
      <w:r>
        <w:rPr>
          <w:color w:val="1A1A2E"/>
          <w:sz w:val="20"/>
        </w:rPr>
        <w:t>Scan de code-barres (ajout via caméra smartphone)</w:t>
      </w:r>
    </w:p>
    <w:p>
      <w:pPr>
        <w:pStyle w:val="ListBullet"/>
        <w:spacing w:after="40"/>
        <w:ind w:left="454"/>
      </w:pPr>
      <w:r>
        <w:rPr>
          <w:color w:val="1A1A2E"/>
          <w:sz w:val="20"/>
        </w:rPr>
        <w:t>Import depuis RetroCollect ou VGCollect</w:t>
      </w:r>
    </w:p>
    <w:p>
      <w:pPr>
        <w:pStyle w:val="ListBullet"/>
        <w:spacing w:after="40"/>
        <w:ind w:left="454"/>
      </w:pPr>
      <w:r>
        <w:rPr>
          <w:color w:val="1A1A2E"/>
          <w:sz w:val="20"/>
        </w:rPr>
        <w:t>App mobile native</w:t>
      </w:r>
    </w:p>
    <w:p>
      <w:pPr>
        <w:pStyle w:val="ListBullet"/>
        <w:spacing w:after="40"/>
        <w:ind w:left="454"/>
      </w:pPr>
      <w:r>
        <w:rPr>
          <w:color w:val="1A1A2E"/>
          <w:sz w:val="20"/>
        </w:rPr>
        <w:t>Statistiques de collection (valeur totale, évolution dans le temps)</w:t>
      </w:r>
    </w:p>
    <w:p>
      <w:pPr>
        <w:spacing w:before="480" w:after="120"/>
      </w:pPr>
      <w:r>
        <w:rPr>
          <w:b/>
          <w:color w:val="6C63FF"/>
          <w:sz w:val="28"/>
        </w:rPr>
        <w:t>10. QUESTIONS OUVERTES</w:t>
      </w:r>
    </w:p>
    <w:tbl>
      <w:tblPr>
        <w:tblStyle w:val="TableGrid"/>
        <w:tblW w:type="auto" w:w="0"/>
        <w:jc w:val="left"/>
        <w:tblLook w:firstColumn="1" w:firstRow="1" w:lastColumn="0" w:lastRow="0" w:noHBand="0" w:noVBand="1" w:val="04A0"/>
      </w:tblPr>
      <w:tblGrid>
        <w:gridCol w:w="4537"/>
        <w:gridCol w:w="4537"/>
      </w:tblGrid>
      <w:tr>
        <w:tc>
          <w:tcPr>
            <w:tcW w:type="dxa" w:w="3685"/>
            <w:shd w:val="clear" w:color="auto" w:fill="1A1A2E"/>
            <w:tcBorders>
              <w:top w:val="single" w:sz="4" w:space="0" w:color="333366"/>
              <w:left w:val="single" w:sz="4" w:space="0" w:color="333366"/>
              <w:bottom w:val="single" w:sz="4" w:space="0" w:color="333366"/>
              <w:right w:val="single" w:sz="4" w:space="0" w:color="333366"/>
              <w:insideH w:val="single" w:sz="4" w:space="0" w:color="333366"/>
              <w:insideV w:val="single" w:sz="4" w:space="0" w:color="333366"/>
            </w:tcBorders>
          </w:tcPr>
          <w:p>
            <w:pPr>
              <w:spacing w:before="80" w:after="80"/>
            </w:pPr>
            <w:r>
              <w:rPr>
                <w:b/>
                <w:color w:val="FFFFFF"/>
                <w:sz w:val="18"/>
              </w:rPr>
              <w:t>Question</w:t>
            </w:r>
          </w:p>
        </w:tc>
        <w:tc>
          <w:tcPr>
            <w:tcW w:type="dxa" w:w="4932"/>
            <w:shd w:val="clear" w:color="auto" w:fill="1A1A2E"/>
            <w:tcBorders>
              <w:top w:val="single" w:sz="4" w:space="0" w:color="333366"/>
              <w:left w:val="single" w:sz="4" w:space="0" w:color="333366"/>
              <w:bottom w:val="single" w:sz="4" w:space="0" w:color="333366"/>
              <w:right w:val="single" w:sz="4" w:space="0" w:color="333366"/>
              <w:insideH w:val="single" w:sz="4" w:space="0" w:color="333366"/>
              <w:insideV w:val="single" w:sz="4" w:space="0" w:color="333366"/>
            </w:tcBorders>
          </w:tcPr>
          <w:p>
            <w:pPr>
              <w:spacing w:before="80" w:after="80"/>
            </w:pPr>
            <w:r>
              <w:rPr>
                <w:b/>
                <w:color w:val="FFFFFF"/>
                <w:sz w:val="18"/>
              </w:rPr>
              <w:t>Statut</w:t>
            </w:r>
          </w:p>
        </w:tc>
      </w:tr>
      <w:tr>
        <w:tc>
          <w:tcPr>
            <w:tcW w:type="dxa" w:w="3685"/>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Nom de l'app</w:t>
            </w:r>
          </w:p>
        </w:tc>
        <w:tc>
          <w:tcPr>
            <w:tcW w:type="dxa" w:w="4932"/>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À définir</w:t>
            </w:r>
          </w:p>
        </w:tc>
      </w:tr>
      <w:tr>
        <w:tc>
          <w:tcPr>
            <w:tcW w:type="dxa" w:w="3685"/>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Accent couleur de l'UI</w:t>
            </w:r>
          </w:p>
        </w:tc>
        <w:tc>
          <w:tcPr>
            <w:tcW w:type="dxa" w:w="4932"/>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À définir (moodboard à faire)</w:t>
            </w:r>
          </w:p>
        </w:tc>
      </w:tr>
      <w:tr>
        <w:tc>
          <w:tcPr>
            <w:tcW w:type="dxa" w:w="3685"/>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Modèles 3D des cartouches et boîtes</w:t>
            </w:r>
          </w:p>
        </w:tc>
        <w:tc>
          <w:tcPr>
            <w:tcW w:type="dxa" w:w="4932"/>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Créer les meshes manuellement ou trouver des assets libres de droits</w:t>
            </w:r>
          </w:p>
        </w:tc>
      </w:tr>
      <w:tr>
        <w:tc>
          <w:tcPr>
            <w:tcW w:type="dxa" w:w="3685"/>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Valeurs du champ completion</w:t>
            </w:r>
          </w:p>
        </w:tc>
        <w:tc>
          <w:tcPr>
            <w:tcW w:type="dxa" w:w="4932"/>
            <w:shd w:val="clear" w:color="auto" w:fill="FFFFFF"/>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Proposition : Loose / CIB / Sealed — à valider</w:t>
            </w:r>
          </w:p>
        </w:tc>
      </w:tr>
      <w:tr>
        <w:tc>
          <w:tcPr>
            <w:tcW w:type="dxa" w:w="3685"/>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Jeux vendus : masqués ou visibles avec badge ?</w:t>
            </w:r>
          </w:p>
        </w:tc>
        <w:tc>
          <w:tcPr>
            <w:tcW w:type="dxa" w:w="4932"/>
            <w:shd w:val="clear" w:color="auto" w:fill="F8F8FC"/>
            <w:tcBorders>
              <w:top w:val="single" w:sz="4" w:space="0" w:color="E0E0E8"/>
              <w:left w:val="single" w:sz="4" w:space="0" w:color="E0E0E8"/>
              <w:bottom w:val="single" w:sz="4" w:space="0" w:color="E0E0E8"/>
              <w:right w:val="single" w:sz="4" w:space="0" w:color="E0E0E8"/>
              <w:insideH w:val="single" w:sz="4" w:space="0" w:color="E0E0E8"/>
              <w:insideV w:val="single" w:sz="4" w:space="0" w:color="E0E0E8"/>
            </w:tcBorders>
          </w:tcPr>
          <w:p>
            <w:pPr>
              <w:spacing w:before="60" w:after="60"/>
            </w:pPr>
            <w:r>
              <w:rPr>
                <w:color w:val="1A1A2E"/>
                <w:sz w:val="18"/>
              </w:rPr>
              <w:t>Proposition : visibles avec badge "Vendu" et filtre pour les cacher</w:t>
            </w:r>
          </w:p>
        </w:tc>
      </w:tr>
    </w:tbl>
    <w:p/>
    <w:sectPr w:rsidR="00FC693F" w:rsidRPr="0006063C" w:rsidSect="00034616">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