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F55" w:rsidRDefault="00334F55" w:rsidP="00334F55">
      <w:pPr>
        <w:jc w:val="center"/>
        <w:rPr>
          <w:b/>
        </w:rPr>
      </w:pPr>
      <w:r w:rsidRPr="00A56AB8">
        <w:rPr>
          <w:b/>
        </w:rPr>
        <w:t xml:space="preserve">Topic 1: </w:t>
      </w:r>
      <w:r>
        <w:rPr>
          <w:b/>
        </w:rPr>
        <w:t>Introduction to Statistics Solutions</w:t>
      </w:r>
    </w:p>
    <w:p w:rsidR="00334F55" w:rsidRPr="00334F55" w:rsidRDefault="00334F55" w:rsidP="00334F55">
      <w:pPr>
        <w:jc w:val="center"/>
      </w:pPr>
    </w:p>
    <w:p w:rsidR="00334F55" w:rsidRPr="00F6429A" w:rsidRDefault="00334F55" w:rsidP="00334F55">
      <w:pPr>
        <w:tabs>
          <w:tab w:val="left" w:pos="500"/>
          <w:tab w:val="left" w:pos="1620"/>
        </w:tabs>
        <w:jc w:val="both"/>
        <w:rPr>
          <w:b/>
          <w:lang w:eastAsia="zh-HK"/>
        </w:rPr>
      </w:pPr>
      <w:r w:rsidRPr="00F6429A">
        <w:rPr>
          <w:b/>
        </w:rPr>
        <w:t>Q1</w:t>
      </w:r>
    </w:p>
    <w:p w:rsidR="00334F55" w:rsidRPr="00334F55" w:rsidRDefault="00334F55" w:rsidP="00334F55">
      <w:pPr>
        <w:numPr>
          <w:ilvl w:val="0"/>
          <w:numId w:val="1"/>
        </w:numPr>
        <w:tabs>
          <w:tab w:val="clear" w:pos="1080"/>
          <w:tab w:val="num" w:pos="540"/>
        </w:tabs>
        <w:ind w:left="540" w:hanging="540"/>
        <w:jc w:val="both"/>
      </w:pPr>
      <w:r w:rsidRPr="00334F55">
        <w:t>Numerical, discrete</w:t>
      </w:r>
    </w:p>
    <w:p w:rsidR="00334F55" w:rsidRPr="00D61629" w:rsidRDefault="00334F55" w:rsidP="00334F55">
      <w:pPr>
        <w:numPr>
          <w:ilvl w:val="0"/>
          <w:numId w:val="1"/>
        </w:numPr>
        <w:tabs>
          <w:tab w:val="clear" w:pos="1080"/>
          <w:tab w:val="num" w:pos="540"/>
        </w:tabs>
        <w:ind w:left="540" w:hanging="540"/>
        <w:jc w:val="both"/>
      </w:pPr>
      <w:r w:rsidRPr="00D61629">
        <w:t xml:space="preserve">Numerical, continuous </w:t>
      </w:r>
    </w:p>
    <w:p w:rsidR="00334F55" w:rsidRPr="00D61629" w:rsidRDefault="00334F55" w:rsidP="00334F55">
      <w:pPr>
        <w:numPr>
          <w:ilvl w:val="0"/>
          <w:numId w:val="1"/>
        </w:numPr>
        <w:tabs>
          <w:tab w:val="clear" w:pos="1080"/>
          <w:tab w:val="num" w:pos="540"/>
        </w:tabs>
        <w:ind w:left="540" w:hanging="540"/>
        <w:jc w:val="both"/>
      </w:pPr>
      <w:r w:rsidRPr="00D61629">
        <w:t>Categorical</w:t>
      </w:r>
    </w:p>
    <w:p w:rsidR="00334F55" w:rsidRPr="00D61629" w:rsidRDefault="00334F55" w:rsidP="00334F55">
      <w:pPr>
        <w:numPr>
          <w:ilvl w:val="0"/>
          <w:numId w:val="1"/>
        </w:numPr>
        <w:tabs>
          <w:tab w:val="clear" w:pos="1080"/>
          <w:tab w:val="num" w:pos="540"/>
        </w:tabs>
        <w:ind w:left="540" w:hanging="540"/>
        <w:jc w:val="both"/>
      </w:pPr>
      <w:r w:rsidRPr="00D61629">
        <w:t>Categorical</w:t>
      </w:r>
    </w:p>
    <w:p w:rsidR="00427BA8" w:rsidRDefault="00427BA8"/>
    <w:p w:rsidR="00F6429A" w:rsidRDefault="00F6429A"/>
    <w:p w:rsidR="00F6429A" w:rsidRPr="00F6429A" w:rsidRDefault="00F6429A">
      <w:pPr>
        <w:rPr>
          <w:b/>
        </w:rPr>
      </w:pPr>
      <w:r w:rsidRPr="00F6429A">
        <w:rPr>
          <w:b/>
        </w:rPr>
        <w:t>Q2</w:t>
      </w:r>
    </w:p>
    <w:p w:rsidR="00F6429A" w:rsidRPr="00FB11A9" w:rsidRDefault="00F6429A" w:rsidP="00F6429A">
      <w:pPr>
        <w:tabs>
          <w:tab w:val="left" w:pos="540"/>
        </w:tabs>
        <w:jc w:val="both"/>
      </w:pPr>
      <w:proofErr w:type="gramStart"/>
      <w:r w:rsidRPr="00FB11A9">
        <w:t>a</w:t>
      </w:r>
      <w:proofErr w:type="gramEnd"/>
      <w:r w:rsidRPr="00FB11A9">
        <w:t xml:space="preserve">) </w:t>
      </w:r>
      <w:r>
        <w:t>and 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2"/>
        <w:gridCol w:w="2326"/>
        <w:gridCol w:w="2332"/>
        <w:gridCol w:w="2343"/>
      </w:tblGrid>
      <w:tr w:rsidR="00F6429A" w:rsidTr="00FF37A8">
        <w:tc>
          <w:tcPr>
            <w:tcW w:w="2529" w:type="dxa"/>
            <w:shd w:val="clear" w:color="auto" w:fill="auto"/>
          </w:tcPr>
          <w:p w:rsidR="00F6429A" w:rsidRDefault="00F6429A" w:rsidP="00FF37A8">
            <w:pPr>
              <w:tabs>
                <w:tab w:val="left" w:pos="540"/>
              </w:tabs>
              <w:jc w:val="both"/>
            </w:pPr>
          </w:p>
        </w:tc>
        <w:tc>
          <w:tcPr>
            <w:tcW w:w="2529" w:type="dxa"/>
            <w:shd w:val="clear" w:color="auto" w:fill="auto"/>
          </w:tcPr>
          <w:p w:rsidR="00F6429A" w:rsidRDefault="00F6429A" w:rsidP="00FF37A8">
            <w:pPr>
              <w:tabs>
                <w:tab w:val="left" w:pos="540"/>
              </w:tabs>
              <w:jc w:val="center"/>
            </w:pPr>
            <w:r>
              <w:t>Frequency</w:t>
            </w:r>
          </w:p>
        </w:tc>
        <w:tc>
          <w:tcPr>
            <w:tcW w:w="2529" w:type="dxa"/>
            <w:shd w:val="clear" w:color="auto" w:fill="auto"/>
          </w:tcPr>
          <w:p w:rsidR="00F6429A" w:rsidRDefault="00F6429A" w:rsidP="00FF37A8">
            <w:pPr>
              <w:tabs>
                <w:tab w:val="left" w:pos="540"/>
              </w:tabs>
              <w:jc w:val="center"/>
            </w:pPr>
            <w:r>
              <w:t>Percentage</w:t>
            </w:r>
          </w:p>
        </w:tc>
        <w:tc>
          <w:tcPr>
            <w:tcW w:w="2529" w:type="dxa"/>
            <w:shd w:val="clear" w:color="auto" w:fill="auto"/>
          </w:tcPr>
          <w:p w:rsidR="00F6429A" w:rsidRDefault="00F6429A" w:rsidP="00FF37A8">
            <w:pPr>
              <w:tabs>
                <w:tab w:val="left" w:pos="540"/>
              </w:tabs>
              <w:jc w:val="center"/>
            </w:pPr>
            <w:r>
              <w:t>Cumulative Percentage</w:t>
            </w:r>
          </w:p>
        </w:tc>
      </w:tr>
      <w:tr w:rsidR="00F6429A" w:rsidTr="00FF37A8">
        <w:tc>
          <w:tcPr>
            <w:tcW w:w="2529" w:type="dxa"/>
            <w:shd w:val="clear" w:color="auto" w:fill="auto"/>
          </w:tcPr>
          <w:p w:rsidR="00F6429A" w:rsidRDefault="00F6429A" w:rsidP="00FF37A8">
            <w:pPr>
              <w:tabs>
                <w:tab w:val="left" w:pos="540"/>
              </w:tabs>
              <w:jc w:val="both"/>
            </w:pPr>
            <w:r>
              <w:t>$80 - Less than $100</w:t>
            </w:r>
          </w:p>
        </w:tc>
        <w:tc>
          <w:tcPr>
            <w:tcW w:w="2529" w:type="dxa"/>
            <w:shd w:val="clear" w:color="auto" w:fill="auto"/>
          </w:tcPr>
          <w:p w:rsidR="00F6429A" w:rsidRDefault="00F6429A" w:rsidP="00FF37A8">
            <w:pPr>
              <w:tabs>
                <w:tab w:val="left" w:pos="540"/>
              </w:tabs>
              <w:jc w:val="center"/>
            </w:pPr>
            <w:r>
              <w:t>4</w:t>
            </w:r>
          </w:p>
        </w:tc>
        <w:tc>
          <w:tcPr>
            <w:tcW w:w="2529" w:type="dxa"/>
            <w:shd w:val="clear" w:color="auto" w:fill="auto"/>
          </w:tcPr>
          <w:p w:rsidR="00F6429A" w:rsidRDefault="00F6429A" w:rsidP="00FF37A8">
            <w:pPr>
              <w:tabs>
                <w:tab w:val="left" w:pos="540"/>
              </w:tabs>
              <w:jc w:val="center"/>
            </w:pPr>
            <w:r>
              <w:t>8%</w:t>
            </w:r>
          </w:p>
        </w:tc>
        <w:tc>
          <w:tcPr>
            <w:tcW w:w="2529" w:type="dxa"/>
            <w:shd w:val="clear" w:color="auto" w:fill="auto"/>
          </w:tcPr>
          <w:p w:rsidR="00F6429A" w:rsidRDefault="00F6429A" w:rsidP="00FF37A8">
            <w:pPr>
              <w:tabs>
                <w:tab w:val="left" w:pos="540"/>
              </w:tabs>
              <w:jc w:val="center"/>
            </w:pPr>
            <w:r>
              <w:t>8%</w:t>
            </w:r>
          </w:p>
        </w:tc>
      </w:tr>
      <w:tr w:rsidR="00F6429A" w:rsidTr="00FF37A8">
        <w:tc>
          <w:tcPr>
            <w:tcW w:w="2529" w:type="dxa"/>
            <w:shd w:val="clear" w:color="auto" w:fill="auto"/>
          </w:tcPr>
          <w:p w:rsidR="00F6429A" w:rsidRDefault="00F6429A" w:rsidP="00190C3A">
            <w:pPr>
              <w:tabs>
                <w:tab w:val="left" w:pos="540"/>
              </w:tabs>
            </w:pPr>
            <w:r>
              <w:t>$100 – Less than $120</w:t>
            </w:r>
          </w:p>
        </w:tc>
        <w:tc>
          <w:tcPr>
            <w:tcW w:w="2529" w:type="dxa"/>
            <w:shd w:val="clear" w:color="auto" w:fill="auto"/>
          </w:tcPr>
          <w:p w:rsidR="00F6429A" w:rsidRDefault="00F6429A" w:rsidP="00FF37A8">
            <w:pPr>
              <w:tabs>
                <w:tab w:val="left" w:pos="540"/>
              </w:tabs>
              <w:jc w:val="center"/>
            </w:pPr>
            <w:r>
              <w:t>7</w:t>
            </w:r>
          </w:p>
        </w:tc>
        <w:tc>
          <w:tcPr>
            <w:tcW w:w="2529" w:type="dxa"/>
            <w:shd w:val="clear" w:color="auto" w:fill="auto"/>
          </w:tcPr>
          <w:p w:rsidR="00F6429A" w:rsidRDefault="00F6429A" w:rsidP="00FF37A8">
            <w:pPr>
              <w:tabs>
                <w:tab w:val="left" w:pos="540"/>
              </w:tabs>
              <w:jc w:val="center"/>
            </w:pPr>
            <w:r>
              <w:t>14%</w:t>
            </w:r>
          </w:p>
        </w:tc>
        <w:tc>
          <w:tcPr>
            <w:tcW w:w="2529" w:type="dxa"/>
            <w:shd w:val="clear" w:color="auto" w:fill="auto"/>
          </w:tcPr>
          <w:p w:rsidR="00F6429A" w:rsidRDefault="00F6429A" w:rsidP="00FF37A8">
            <w:pPr>
              <w:tabs>
                <w:tab w:val="left" w:pos="540"/>
              </w:tabs>
              <w:jc w:val="center"/>
            </w:pPr>
            <w:r>
              <w:t>22%</w:t>
            </w:r>
          </w:p>
        </w:tc>
      </w:tr>
      <w:tr w:rsidR="00F6429A" w:rsidTr="00FF37A8">
        <w:tc>
          <w:tcPr>
            <w:tcW w:w="2529" w:type="dxa"/>
            <w:shd w:val="clear" w:color="auto" w:fill="auto"/>
          </w:tcPr>
          <w:p w:rsidR="00F6429A" w:rsidRDefault="00F6429A" w:rsidP="00190C3A">
            <w:pPr>
              <w:tabs>
                <w:tab w:val="left" w:pos="540"/>
              </w:tabs>
            </w:pPr>
            <w:r>
              <w:t>$120</w:t>
            </w:r>
            <w:r w:rsidR="00190C3A">
              <w:t xml:space="preserve"> </w:t>
            </w:r>
            <w:r>
              <w:t>– Less than $140</w:t>
            </w:r>
          </w:p>
        </w:tc>
        <w:tc>
          <w:tcPr>
            <w:tcW w:w="2529" w:type="dxa"/>
            <w:shd w:val="clear" w:color="auto" w:fill="auto"/>
          </w:tcPr>
          <w:p w:rsidR="00F6429A" w:rsidRDefault="00F6429A" w:rsidP="00FF37A8">
            <w:pPr>
              <w:tabs>
                <w:tab w:val="left" w:pos="540"/>
              </w:tabs>
              <w:jc w:val="center"/>
            </w:pPr>
            <w:r>
              <w:t>9</w:t>
            </w:r>
          </w:p>
        </w:tc>
        <w:tc>
          <w:tcPr>
            <w:tcW w:w="2529" w:type="dxa"/>
            <w:shd w:val="clear" w:color="auto" w:fill="auto"/>
          </w:tcPr>
          <w:p w:rsidR="00F6429A" w:rsidRDefault="00F6429A" w:rsidP="00FF37A8">
            <w:pPr>
              <w:tabs>
                <w:tab w:val="left" w:pos="540"/>
              </w:tabs>
              <w:jc w:val="center"/>
            </w:pPr>
            <w:r>
              <w:t>18%</w:t>
            </w:r>
          </w:p>
        </w:tc>
        <w:tc>
          <w:tcPr>
            <w:tcW w:w="2529" w:type="dxa"/>
            <w:shd w:val="clear" w:color="auto" w:fill="auto"/>
          </w:tcPr>
          <w:p w:rsidR="00F6429A" w:rsidRDefault="00F6429A" w:rsidP="00FF37A8">
            <w:pPr>
              <w:tabs>
                <w:tab w:val="left" w:pos="540"/>
              </w:tabs>
              <w:jc w:val="center"/>
            </w:pPr>
            <w:r>
              <w:t>40%</w:t>
            </w:r>
          </w:p>
        </w:tc>
      </w:tr>
      <w:tr w:rsidR="00F6429A" w:rsidTr="00190C3A">
        <w:trPr>
          <w:trHeight w:val="70"/>
        </w:trPr>
        <w:tc>
          <w:tcPr>
            <w:tcW w:w="2529" w:type="dxa"/>
            <w:shd w:val="clear" w:color="auto" w:fill="auto"/>
          </w:tcPr>
          <w:p w:rsidR="00F6429A" w:rsidRDefault="00F6429A" w:rsidP="00FF37A8">
            <w:r w:rsidRPr="00B15450">
              <w:t>$1</w:t>
            </w:r>
            <w:r>
              <w:t>4</w:t>
            </w:r>
            <w:r w:rsidRPr="00B15450">
              <w:t>0 – Less than $1</w:t>
            </w:r>
            <w:r>
              <w:t>6</w:t>
            </w:r>
            <w:r w:rsidRPr="00B15450">
              <w:t>0</w:t>
            </w:r>
          </w:p>
        </w:tc>
        <w:tc>
          <w:tcPr>
            <w:tcW w:w="2529" w:type="dxa"/>
            <w:shd w:val="clear" w:color="auto" w:fill="auto"/>
          </w:tcPr>
          <w:p w:rsidR="00F6429A" w:rsidRDefault="000C0FD6" w:rsidP="00FF37A8">
            <w:pPr>
              <w:tabs>
                <w:tab w:val="left" w:pos="540"/>
              </w:tabs>
              <w:jc w:val="center"/>
            </w:pPr>
            <w:r>
              <w:t>13</w:t>
            </w:r>
          </w:p>
        </w:tc>
        <w:tc>
          <w:tcPr>
            <w:tcW w:w="2529" w:type="dxa"/>
            <w:shd w:val="clear" w:color="auto" w:fill="auto"/>
          </w:tcPr>
          <w:p w:rsidR="00F6429A" w:rsidRDefault="00F6429A" w:rsidP="00FF37A8">
            <w:pPr>
              <w:tabs>
                <w:tab w:val="left" w:pos="540"/>
              </w:tabs>
              <w:jc w:val="center"/>
            </w:pPr>
            <w:r>
              <w:t>26%</w:t>
            </w:r>
          </w:p>
        </w:tc>
        <w:tc>
          <w:tcPr>
            <w:tcW w:w="2529" w:type="dxa"/>
            <w:shd w:val="clear" w:color="auto" w:fill="auto"/>
          </w:tcPr>
          <w:p w:rsidR="00F6429A" w:rsidRDefault="00F6429A" w:rsidP="00FF37A8">
            <w:pPr>
              <w:tabs>
                <w:tab w:val="left" w:pos="540"/>
              </w:tabs>
              <w:jc w:val="center"/>
            </w:pPr>
            <w:r>
              <w:t>66%</w:t>
            </w:r>
          </w:p>
        </w:tc>
      </w:tr>
      <w:tr w:rsidR="00F6429A" w:rsidTr="00FF37A8">
        <w:tc>
          <w:tcPr>
            <w:tcW w:w="2529" w:type="dxa"/>
            <w:shd w:val="clear" w:color="auto" w:fill="auto"/>
          </w:tcPr>
          <w:p w:rsidR="00F6429A" w:rsidRDefault="00F6429A" w:rsidP="00FF37A8">
            <w:r w:rsidRPr="00B15450">
              <w:t>$1</w:t>
            </w:r>
            <w:r>
              <w:t>6</w:t>
            </w:r>
            <w:r w:rsidRPr="00B15450">
              <w:t>0 – Less than $1</w:t>
            </w:r>
            <w:r>
              <w:t>8</w:t>
            </w:r>
            <w:r w:rsidRPr="00B15450">
              <w:t>0</w:t>
            </w:r>
          </w:p>
        </w:tc>
        <w:tc>
          <w:tcPr>
            <w:tcW w:w="2529" w:type="dxa"/>
            <w:shd w:val="clear" w:color="auto" w:fill="auto"/>
          </w:tcPr>
          <w:p w:rsidR="00F6429A" w:rsidRDefault="00F6429A" w:rsidP="00FF37A8">
            <w:pPr>
              <w:tabs>
                <w:tab w:val="left" w:pos="540"/>
              </w:tabs>
              <w:jc w:val="center"/>
            </w:pPr>
            <w:r>
              <w:t>9</w:t>
            </w:r>
          </w:p>
        </w:tc>
        <w:tc>
          <w:tcPr>
            <w:tcW w:w="2529" w:type="dxa"/>
            <w:shd w:val="clear" w:color="auto" w:fill="auto"/>
          </w:tcPr>
          <w:p w:rsidR="00F6429A" w:rsidRDefault="00F6429A" w:rsidP="00FF37A8">
            <w:pPr>
              <w:tabs>
                <w:tab w:val="left" w:pos="540"/>
              </w:tabs>
              <w:jc w:val="center"/>
            </w:pPr>
            <w:r>
              <w:t>18%</w:t>
            </w:r>
          </w:p>
        </w:tc>
        <w:tc>
          <w:tcPr>
            <w:tcW w:w="2529" w:type="dxa"/>
            <w:shd w:val="clear" w:color="auto" w:fill="auto"/>
          </w:tcPr>
          <w:p w:rsidR="00F6429A" w:rsidRDefault="00F6429A" w:rsidP="00FF37A8">
            <w:pPr>
              <w:tabs>
                <w:tab w:val="left" w:pos="540"/>
              </w:tabs>
              <w:jc w:val="center"/>
            </w:pPr>
            <w:r>
              <w:t>84%</w:t>
            </w:r>
          </w:p>
        </w:tc>
      </w:tr>
      <w:tr w:rsidR="00F6429A" w:rsidTr="00FF37A8">
        <w:tc>
          <w:tcPr>
            <w:tcW w:w="2529" w:type="dxa"/>
            <w:shd w:val="clear" w:color="auto" w:fill="auto"/>
          </w:tcPr>
          <w:p w:rsidR="00F6429A" w:rsidRDefault="00F6429A" w:rsidP="00FF37A8">
            <w:r w:rsidRPr="00B15450">
              <w:t>$</w:t>
            </w:r>
            <w:r>
              <w:t>18</w:t>
            </w:r>
            <w:r w:rsidRPr="00B15450">
              <w:t>0 – Less than $</w:t>
            </w:r>
            <w:r>
              <w:t>20</w:t>
            </w:r>
            <w:r w:rsidRPr="00B15450">
              <w:t>0</w:t>
            </w:r>
          </w:p>
        </w:tc>
        <w:tc>
          <w:tcPr>
            <w:tcW w:w="2529" w:type="dxa"/>
            <w:shd w:val="clear" w:color="auto" w:fill="auto"/>
          </w:tcPr>
          <w:p w:rsidR="00F6429A" w:rsidRDefault="00F6429A" w:rsidP="00FF37A8">
            <w:pPr>
              <w:tabs>
                <w:tab w:val="left" w:pos="540"/>
              </w:tabs>
              <w:jc w:val="center"/>
            </w:pPr>
            <w:r>
              <w:t>5</w:t>
            </w:r>
          </w:p>
        </w:tc>
        <w:tc>
          <w:tcPr>
            <w:tcW w:w="2529" w:type="dxa"/>
            <w:shd w:val="clear" w:color="auto" w:fill="auto"/>
          </w:tcPr>
          <w:p w:rsidR="00F6429A" w:rsidRDefault="00F6429A" w:rsidP="00FF37A8">
            <w:pPr>
              <w:tabs>
                <w:tab w:val="left" w:pos="540"/>
              </w:tabs>
              <w:jc w:val="center"/>
            </w:pPr>
            <w:r>
              <w:t>10%</w:t>
            </w:r>
          </w:p>
        </w:tc>
        <w:tc>
          <w:tcPr>
            <w:tcW w:w="2529" w:type="dxa"/>
            <w:shd w:val="clear" w:color="auto" w:fill="auto"/>
          </w:tcPr>
          <w:p w:rsidR="00F6429A" w:rsidRDefault="00F6429A" w:rsidP="00FF37A8">
            <w:pPr>
              <w:tabs>
                <w:tab w:val="left" w:pos="540"/>
              </w:tabs>
              <w:jc w:val="center"/>
            </w:pPr>
            <w:r>
              <w:t>94%</w:t>
            </w:r>
          </w:p>
        </w:tc>
      </w:tr>
      <w:tr w:rsidR="00F6429A" w:rsidTr="00FF37A8">
        <w:tc>
          <w:tcPr>
            <w:tcW w:w="2529" w:type="dxa"/>
            <w:shd w:val="clear" w:color="auto" w:fill="auto"/>
          </w:tcPr>
          <w:p w:rsidR="00F6429A" w:rsidRDefault="00F6429A" w:rsidP="00FF37A8">
            <w:r w:rsidRPr="00B15450">
              <w:t>$</w:t>
            </w:r>
            <w:r>
              <w:t>200</w:t>
            </w:r>
            <w:r w:rsidRPr="00B15450">
              <w:t xml:space="preserve"> – Less than $</w:t>
            </w:r>
            <w:r>
              <w:t>22</w:t>
            </w:r>
            <w:r w:rsidRPr="00B15450">
              <w:t>0</w:t>
            </w:r>
          </w:p>
        </w:tc>
        <w:tc>
          <w:tcPr>
            <w:tcW w:w="2529" w:type="dxa"/>
            <w:shd w:val="clear" w:color="auto" w:fill="auto"/>
          </w:tcPr>
          <w:p w:rsidR="00F6429A" w:rsidRDefault="00F6429A" w:rsidP="00FF37A8">
            <w:pPr>
              <w:tabs>
                <w:tab w:val="left" w:pos="540"/>
              </w:tabs>
              <w:jc w:val="center"/>
            </w:pPr>
            <w:r>
              <w:t>3</w:t>
            </w:r>
          </w:p>
        </w:tc>
        <w:tc>
          <w:tcPr>
            <w:tcW w:w="2529" w:type="dxa"/>
            <w:shd w:val="clear" w:color="auto" w:fill="auto"/>
          </w:tcPr>
          <w:p w:rsidR="00F6429A" w:rsidRDefault="00F6429A" w:rsidP="00FF37A8">
            <w:pPr>
              <w:tabs>
                <w:tab w:val="left" w:pos="540"/>
              </w:tabs>
              <w:jc w:val="center"/>
            </w:pPr>
            <w:r>
              <w:t>6%</w:t>
            </w:r>
          </w:p>
        </w:tc>
        <w:tc>
          <w:tcPr>
            <w:tcW w:w="2529" w:type="dxa"/>
            <w:shd w:val="clear" w:color="auto" w:fill="auto"/>
          </w:tcPr>
          <w:p w:rsidR="00F6429A" w:rsidRDefault="00F6429A" w:rsidP="00FF37A8">
            <w:pPr>
              <w:tabs>
                <w:tab w:val="left" w:pos="540"/>
              </w:tabs>
              <w:jc w:val="center"/>
            </w:pPr>
            <w:r>
              <w:t>100%</w:t>
            </w:r>
          </w:p>
        </w:tc>
      </w:tr>
    </w:tbl>
    <w:p w:rsidR="00F6429A" w:rsidRDefault="00F6429A" w:rsidP="00F6429A">
      <w:pPr>
        <w:tabs>
          <w:tab w:val="left" w:pos="540"/>
        </w:tabs>
        <w:jc w:val="both"/>
      </w:pPr>
    </w:p>
    <w:p w:rsidR="00F6429A" w:rsidRDefault="00F6429A" w:rsidP="00F6429A">
      <w:pPr>
        <w:tabs>
          <w:tab w:val="left" w:pos="540"/>
        </w:tabs>
        <w:jc w:val="both"/>
      </w:pPr>
      <w:r>
        <w:t>c)</w:t>
      </w:r>
    </w:p>
    <w:p w:rsidR="00F6429A" w:rsidRDefault="00F6429A" w:rsidP="00F6429A">
      <w:pPr>
        <w:tabs>
          <w:tab w:val="left" w:pos="540"/>
        </w:tabs>
        <w:jc w:val="both"/>
      </w:pPr>
      <w:r>
        <w:rPr>
          <w:noProof/>
          <w:lang w:eastAsia="zh-TW"/>
        </w:rPr>
        <w:drawing>
          <wp:inline distT="0" distB="0" distL="0" distR="0" wp14:anchorId="6A91D75D" wp14:editId="78000D62">
            <wp:extent cx="4065270" cy="2142490"/>
            <wp:effectExtent l="0" t="0" r="11430" b="1016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6429A" w:rsidRDefault="00F6429A" w:rsidP="00F6429A">
      <w:pPr>
        <w:tabs>
          <w:tab w:val="left" w:pos="540"/>
        </w:tabs>
        <w:jc w:val="both"/>
      </w:pPr>
    </w:p>
    <w:p w:rsidR="00F6429A" w:rsidRPr="00FB11A9" w:rsidRDefault="00F6429A" w:rsidP="00F90A1D">
      <w:pPr>
        <w:tabs>
          <w:tab w:val="left" w:pos="540"/>
        </w:tabs>
        <w:jc w:val="both"/>
      </w:pPr>
      <w:r>
        <w:t xml:space="preserve">d) </w:t>
      </w:r>
      <w:r>
        <w:tab/>
      </w:r>
      <w:r w:rsidR="00190C3A">
        <w:t>31 observations (or 62%)</w:t>
      </w:r>
      <w:r>
        <w:t>.</w:t>
      </w:r>
    </w:p>
    <w:p w:rsidR="00F6429A" w:rsidRDefault="00F6429A" w:rsidP="00F90A1D">
      <w:pPr>
        <w:jc w:val="both"/>
      </w:pPr>
    </w:p>
    <w:p w:rsidR="00326A52" w:rsidRDefault="00326A52" w:rsidP="00F90A1D">
      <w:pPr>
        <w:jc w:val="both"/>
      </w:pPr>
    </w:p>
    <w:p w:rsidR="00334F55" w:rsidRPr="00F6429A" w:rsidRDefault="00F6429A" w:rsidP="00F90A1D">
      <w:pPr>
        <w:jc w:val="both"/>
        <w:rPr>
          <w:b/>
        </w:rPr>
      </w:pPr>
      <w:r w:rsidRPr="00F6429A">
        <w:rPr>
          <w:b/>
        </w:rPr>
        <w:t>Q3</w:t>
      </w:r>
    </w:p>
    <w:p w:rsidR="00F6429A" w:rsidRDefault="00F6429A" w:rsidP="00F90A1D">
      <w:pPr>
        <w:tabs>
          <w:tab w:val="left" w:pos="720"/>
          <w:tab w:val="left" w:pos="2320"/>
        </w:tabs>
        <w:jc w:val="both"/>
      </w:pPr>
      <w:r>
        <w:t>Yes, the managing director is misleading the shareholders in Figure 2 because the profits in 1991 to 1999 are not shown. It gives the shareholder an impression that the company’s profit increases rapidly from 1990 to 2000.</w:t>
      </w:r>
    </w:p>
    <w:p w:rsidR="00F6429A" w:rsidRDefault="00F6429A" w:rsidP="00F90A1D">
      <w:pPr>
        <w:jc w:val="both"/>
      </w:pPr>
    </w:p>
    <w:p w:rsidR="00F6429A" w:rsidRDefault="00F6429A" w:rsidP="00F90A1D">
      <w:pPr>
        <w:jc w:val="both"/>
      </w:pPr>
    </w:p>
    <w:p w:rsidR="00F6429A" w:rsidRPr="00F6429A" w:rsidRDefault="00F6429A" w:rsidP="00F90A1D">
      <w:pPr>
        <w:jc w:val="both"/>
        <w:rPr>
          <w:b/>
        </w:rPr>
      </w:pPr>
      <w:r w:rsidRPr="00F6429A">
        <w:rPr>
          <w:b/>
        </w:rPr>
        <w:t>Q4</w:t>
      </w:r>
    </w:p>
    <w:p w:rsidR="00F6429A" w:rsidRDefault="00F6429A" w:rsidP="00F90A1D">
      <w:pPr>
        <w:tabs>
          <w:tab w:val="left" w:pos="720"/>
          <w:tab w:val="left" w:pos="2320"/>
        </w:tabs>
        <w:jc w:val="both"/>
      </w:pPr>
      <w:r>
        <w:t xml:space="preserve">The intervals of each two consecutive years are not equal. The bin widths range from 4 years to 18 years. It gives an impression that the British pound declined steadily from year 1971-1975 compared with year 1939-1949. The title is too subjective. The measurement unit is not clearly stated. Say in 1925, the $4.86, does it means US$4.86 to $1 British pounds.     </w:t>
      </w:r>
    </w:p>
    <w:p w:rsidR="00F6429A" w:rsidRDefault="00F6429A" w:rsidP="00F90A1D">
      <w:pPr>
        <w:jc w:val="both"/>
      </w:pPr>
    </w:p>
    <w:p w:rsidR="00F6429A" w:rsidRDefault="00F6429A" w:rsidP="00F90A1D">
      <w:pPr>
        <w:jc w:val="both"/>
      </w:pPr>
    </w:p>
    <w:p w:rsidR="00F6429A" w:rsidRPr="00F6429A" w:rsidRDefault="00F6429A" w:rsidP="00F90A1D">
      <w:pPr>
        <w:jc w:val="both"/>
        <w:rPr>
          <w:b/>
        </w:rPr>
      </w:pPr>
      <w:r w:rsidRPr="00F6429A">
        <w:rPr>
          <w:b/>
        </w:rPr>
        <w:t>Q5</w:t>
      </w:r>
    </w:p>
    <w:p w:rsidR="00F6429A" w:rsidRDefault="00F6429A" w:rsidP="00F90A1D">
      <w:pPr>
        <w:tabs>
          <w:tab w:val="left" w:pos="720"/>
          <w:tab w:val="left" w:pos="2320"/>
        </w:tabs>
        <w:jc w:val="both"/>
      </w:pPr>
      <w:r>
        <w:t>The figures of people lining the globe do not give any information about world population. And it may give the impression that future world population will be declining. In the chart, it appears that world population has been raising linearly. Notice that the time intervals on the horizontal axis are not uniform in size.</w:t>
      </w:r>
    </w:p>
    <w:p w:rsidR="00F6429A" w:rsidRPr="00C3347F" w:rsidRDefault="00F6429A" w:rsidP="00F90A1D">
      <w:pPr>
        <w:tabs>
          <w:tab w:val="left" w:pos="720"/>
          <w:tab w:val="left" w:pos="2320"/>
        </w:tabs>
        <w:jc w:val="both"/>
      </w:pPr>
      <w:r>
        <w:t>You should expect to have the graph showing slow increase in world population at the beginning years and exponential increase after year 1960.</w:t>
      </w:r>
    </w:p>
    <w:p w:rsidR="00F6429A" w:rsidRDefault="00F6429A" w:rsidP="00F90A1D">
      <w:pPr>
        <w:tabs>
          <w:tab w:val="left" w:pos="540"/>
        </w:tabs>
        <w:jc w:val="both"/>
        <w:rPr>
          <w:b/>
        </w:rPr>
      </w:pPr>
    </w:p>
    <w:p w:rsidR="00F6429A" w:rsidRDefault="00F6429A" w:rsidP="00F90A1D">
      <w:pPr>
        <w:jc w:val="both"/>
      </w:pPr>
    </w:p>
    <w:p w:rsidR="00F6429A" w:rsidRPr="00F6429A" w:rsidRDefault="00F6429A" w:rsidP="00F90A1D">
      <w:pPr>
        <w:jc w:val="both"/>
        <w:rPr>
          <w:b/>
        </w:rPr>
      </w:pPr>
      <w:r w:rsidRPr="00F6429A">
        <w:rPr>
          <w:b/>
        </w:rPr>
        <w:t>Q6</w:t>
      </w:r>
    </w:p>
    <w:p w:rsidR="00F6429A" w:rsidRPr="00DC0109" w:rsidRDefault="00F6429A" w:rsidP="00F90A1D">
      <w:pPr>
        <w:tabs>
          <w:tab w:val="left" w:pos="720"/>
          <w:tab w:val="left" w:pos="2320"/>
        </w:tabs>
        <w:jc w:val="both"/>
      </w:pPr>
      <w:r w:rsidRPr="00DC0109">
        <w:t xml:space="preserve">The 3-D display makes it difficult to read the bars. Focusing at the front of each bar, the side of each bar, or the back of each bar will give different impressions. </w:t>
      </w:r>
    </w:p>
    <w:p w:rsidR="00F6429A" w:rsidRPr="00DC0109" w:rsidRDefault="00F6429A" w:rsidP="00F90A1D">
      <w:pPr>
        <w:tabs>
          <w:tab w:val="left" w:pos="720"/>
          <w:tab w:val="left" w:pos="2320"/>
        </w:tabs>
        <w:jc w:val="both"/>
      </w:pPr>
      <w:r w:rsidRPr="00DC0109">
        <w:t xml:space="preserve">The x-axis goes from right to left, instead of the usual direction left to right, thereby giving a misleading perception of the </w:t>
      </w:r>
      <w:r>
        <w:t>asymmetry</w:t>
      </w:r>
      <w:r w:rsidRPr="00DC0109">
        <w:t xml:space="preserve">. Moreover, the curved and sloped x-axis exaggerates the difference between lower-income bars and upper-income bars. </w:t>
      </w:r>
    </w:p>
    <w:p w:rsidR="00F6429A" w:rsidRPr="00DC0109" w:rsidRDefault="00F6429A" w:rsidP="00F90A1D">
      <w:pPr>
        <w:tabs>
          <w:tab w:val="left" w:pos="720"/>
          <w:tab w:val="left" w:pos="2320"/>
        </w:tabs>
        <w:jc w:val="both"/>
      </w:pPr>
      <w:r w:rsidRPr="00DC0109">
        <w:t xml:space="preserve">Percentage figure was missed from the bar of $40,000-$49,000. Moreover, the upper boundary of this bar should be $49,999. </w:t>
      </w:r>
    </w:p>
    <w:p w:rsidR="00F6429A" w:rsidRPr="00DC0109" w:rsidRDefault="00F6429A" w:rsidP="00F90A1D">
      <w:pPr>
        <w:tabs>
          <w:tab w:val="left" w:pos="720"/>
          <w:tab w:val="left" w:pos="2320"/>
        </w:tabs>
        <w:jc w:val="both"/>
      </w:pPr>
      <w:r w:rsidRPr="00DC0109">
        <w:t>The bar widths are not proportional to the interval ranges. For example, it goes by $10,000 then by $25,000, increasing t</w:t>
      </w:r>
      <w:r>
        <w:t>he height of the $50,000-$74,999</w:t>
      </w:r>
      <w:r w:rsidRPr="00DC0109">
        <w:t xml:space="preserve"> bar. </w:t>
      </w:r>
    </w:p>
    <w:p w:rsidR="00F6429A" w:rsidRDefault="00F6429A" w:rsidP="00F90A1D">
      <w:pPr>
        <w:tabs>
          <w:tab w:val="left" w:pos="720"/>
          <w:tab w:val="left" w:pos="2320"/>
        </w:tabs>
        <w:jc w:val="both"/>
      </w:pPr>
      <w:r w:rsidRPr="00DC0109">
        <w:t>Total number of households was not given.</w:t>
      </w:r>
    </w:p>
    <w:p w:rsidR="00F6429A" w:rsidRDefault="00F6429A" w:rsidP="00F90A1D">
      <w:pPr>
        <w:jc w:val="both"/>
      </w:pPr>
    </w:p>
    <w:p w:rsidR="00342970" w:rsidRPr="00F6429A" w:rsidRDefault="00342970">
      <w:pPr>
        <w:rPr>
          <w:b/>
        </w:rPr>
      </w:pPr>
      <w:bookmarkStart w:id="0" w:name="_GoBack"/>
      <w:bookmarkEnd w:id="0"/>
    </w:p>
    <w:sectPr w:rsidR="00342970" w:rsidRPr="00F6429A" w:rsidSect="00326A5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5FF" w:rsidRDefault="003A25FF" w:rsidP="00CB5A31">
      <w:r>
        <w:separator/>
      </w:r>
    </w:p>
  </w:endnote>
  <w:endnote w:type="continuationSeparator" w:id="0">
    <w:p w:rsidR="003A25FF" w:rsidRDefault="003A25FF" w:rsidP="00CB5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5FF" w:rsidRDefault="003A25FF" w:rsidP="00CB5A31">
      <w:r>
        <w:separator/>
      </w:r>
    </w:p>
  </w:footnote>
  <w:footnote w:type="continuationSeparator" w:id="0">
    <w:p w:rsidR="003A25FF" w:rsidRDefault="003A25FF" w:rsidP="00CB5A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445F4"/>
    <w:multiLevelType w:val="hybridMultilevel"/>
    <w:tmpl w:val="353A5238"/>
    <w:lvl w:ilvl="0" w:tplc="A074F810">
      <w:start w:val="2"/>
      <w:numFmt w:val="lowerLetter"/>
      <w:lvlText w:val="%1)"/>
      <w:lvlJc w:val="left"/>
      <w:pPr>
        <w:tabs>
          <w:tab w:val="num" w:pos="332"/>
        </w:tabs>
        <w:ind w:left="332" w:hanging="360"/>
      </w:pPr>
      <w:rPr>
        <w:rFonts w:hint="default"/>
      </w:rPr>
    </w:lvl>
    <w:lvl w:ilvl="1" w:tplc="04090019">
      <w:start w:val="1"/>
      <w:numFmt w:val="lowerLetter"/>
      <w:lvlText w:val="%2."/>
      <w:lvlJc w:val="left"/>
      <w:pPr>
        <w:tabs>
          <w:tab w:val="num" w:pos="1052"/>
        </w:tabs>
        <w:ind w:left="1052" w:hanging="360"/>
      </w:pPr>
    </w:lvl>
    <w:lvl w:ilvl="2" w:tplc="0409001B" w:tentative="1">
      <w:start w:val="1"/>
      <w:numFmt w:val="lowerRoman"/>
      <w:lvlText w:val="%3."/>
      <w:lvlJc w:val="right"/>
      <w:pPr>
        <w:tabs>
          <w:tab w:val="num" w:pos="1772"/>
        </w:tabs>
        <w:ind w:left="1772" w:hanging="180"/>
      </w:pPr>
    </w:lvl>
    <w:lvl w:ilvl="3" w:tplc="0409000F" w:tentative="1">
      <w:start w:val="1"/>
      <w:numFmt w:val="decimal"/>
      <w:lvlText w:val="%4."/>
      <w:lvlJc w:val="left"/>
      <w:pPr>
        <w:tabs>
          <w:tab w:val="num" w:pos="2492"/>
        </w:tabs>
        <w:ind w:left="2492" w:hanging="360"/>
      </w:pPr>
    </w:lvl>
    <w:lvl w:ilvl="4" w:tplc="04090019" w:tentative="1">
      <w:start w:val="1"/>
      <w:numFmt w:val="lowerLetter"/>
      <w:lvlText w:val="%5."/>
      <w:lvlJc w:val="left"/>
      <w:pPr>
        <w:tabs>
          <w:tab w:val="num" w:pos="3212"/>
        </w:tabs>
        <w:ind w:left="3212" w:hanging="360"/>
      </w:pPr>
    </w:lvl>
    <w:lvl w:ilvl="5" w:tplc="0409001B" w:tentative="1">
      <w:start w:val="1"/>
      <w:numFmt w:val="lowerRoman"/>
      <w:lvlText w:val="%6."/>
      <w:lvlJc w:val="right"/>
      <w:pPr>
        <w:tabs>
          <w:tab w:val="num" w:pos="3932"/>
        </w:tabs>
        <w:ind w:left="3932" w:hanging="180"/>
      </w:pPr>
    </w:lvl>
    <w:lvl w:ilvl="6" w:tplc="0409000F" w:tentative="1">
      <w:start w:val="1"/>
      <w:numFmt w:val="decimal"/>
      <w:lvlText w:val="%7."/>
      <w:lvlJc w:val="left"/>
      <w:pPr>
        <w:tabs>
          <w:tab w:val="num" w:pos="4652"/>
        </w:tabs>
        <w:ind w:left="4652" w:hanging="360"/>
      </w:pPr>
    </w:lvl>
    <w:lvl w:ilvl="7" w:tplc="04090019" w:tentative="1">
      <w:start w:val="1"/>
      <w:numFmt w:val="lowerLetter"/>
      <w:lvlText w:val="%8."/>
      <w:lvlJc w:val="left"/>
      <w:pPr>
        <w:tabs>
          <w:tab w:val="num" w:pos="5372"/>
        </w:tabs>
        <w:ind w:left="5372" w:hanging="360"/>
      </w:pPr>
    </w:lvl>
    <w:lvl w:ilvl="8" w:tplc="0409001B" w:tentative="1">
      <w:start w:val="1"/>
      <w:numFmt w:val="lowerRoman"/>
      <w:lvlText w:val="%9."/>
      <w:lvlJc w:val="right"/>
      <w:pPr>
        <w:tabs>
          <w:tab w:val="num" w:pos="6092"/>
        </w:tabs>
        <w:ind w:left="6092" w:hanging="180"/>
      </w:pPr>
    </w:lvl>
  </w:abstractNum>
  <w:abstractNum w:abstractNumId="1">
    <w:nsid w:val="115E76D8"/>
    <w:multiLevelType w:val="hybridMultilevel"/>
    <w:tmpl w:val="F63CE7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7B2257"/>
    <w:multiLevelType w:val="hybridMultilevel"/>
    <w:tmpl w:val="B3183E42"/>
    <w:lvl w:ilvl="0" w:tplc="EA0C958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2FF1663"/>
    <w:multiLevelType w:val="hybridMultilevel"/>
    <w:tmpl w:val="9D08CCA4"/>
    <w:lvl w:ilvl="0" w:tplc="C1AC9354">
      <w:start w:val="1"/>
      <w:numFmt w:val="lowerLetter"/>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F55"/>
    <w:rsid w:val="000C0FD6"/>
    <w:rsid w:val="00190C3A"/>
    <w:rsid w:val="00326A52"/>
    <w:rsid w:val="00334F55"/>
    <w:rsid w:val="00342970"/>
    <w:rsid w:val="003A25FF"/>
    <w:rsid w:val="00427BA8"/>
    <w:rsid w:val="0044189D"/>
    <w:rsid w:val="00441A82"/>
    <w:rsid w:val="007758AA"/>
    <w:rsid w:val="00831CBD"/>
    <w:rsid w:val="008E3622"/>
    <w:rsid w:val="00A67159"/>
    <w:rsid w:val="00AF68C0"/>
    <w:rsid w:val="00B76281"/>
    <w:rsid w:val="00BD3F8E"/>
    <w:rsid w:val="00CB5A31"/>
    <w:rsid w:val="00D540DC"/>
    <w:rsid w:val="00F6429A"/>
    <w:rsid w:val="00F90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55"/>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29A"/>
    <w:rPr>
      <w:rFonts w:ascii="Tahoma" w:hAnsi="Tahoma" w:cs="Tahoma"/>
      <w:sz w:val="16"/>
      <w:szCs w:val="16"/>
    </w:rPr>
  </w:style>
  <w:style w:type="character" w:customStyle="1" w:styleId="BalloonTextChar">
    <w:name w:val="Balloon Text Char"/>
    <w:basedOn w:val="DefaultParagraphFont"/>
    <w:link w:val="BalloonText"/>
    <w:uiPriority w:val="99"/>
    <w:semiHidden/>
    <w:rsid w:val="00F6429A"/>
    <w:rPr>
      <w:rFonts w:ascii="Tahoma" w:eastAsia="SimSun" w:hAnsi="Tahoma" w:cs="Tahoma"/>
      <w:sz w:val="16"/>
      <w:szCs w:val="16"/>
    </w:rPr>
  </w:style>
  <w:style w:type="character" w:styleId="PlaceholderText">
    <w:name w:val="Placeholder Text"/>
    <w:basedOn w:val="DefaultParagraphFont"/>
    <w:uiPriority w:val="99"/>
    <w:semiHidden/>
    <w:rsid w:val="00342970"/>
    <w:rPr>
      <w:color w:val="808080"/>
    </w:rPr>
  </w:style>
  <w:style w:type="paragraph" w:styleId="ListParagraph">
    <w:name w:val="List Paragraph"/>
    <w:basedOn w:val="Normal"/>
    <w:uiPriority w:val="34"/>
    <w:qFormat/>
    <w:rsid w:val="00342970"/>
    <w:pPr>
      <w:ind w:left="720"/>
      <w:contextualSpacing/>
    </w:pPr>
  </w:style>
  <w:style w:type="paragraph" w:styleId="Header">
    <w:name w:val="header"/>
    <w:basedOn w:val="Normal"/>
    <w:link w:val="HeaderChar"/>
    <w:uiPriority w:val="99"/>
    <w:unhideWhenUsed/>
    <w:rsid w:val="00CB5A31"/>
    <w:pPr>
      <w:tabs>
        <w:tab w:val="center" w:pos="4320"/>
        <w:tab w:val="right" w:pos="8640"/>
      </w:tabs>
    </w:pPr>
  </w:style>
  <w:style w:type="character" w:customStyle="1" w:styleId="HeaderChar">
    <w:name w:val="Header Char"/>
    <w:basedOn w:val="DefaultParagraphFont"/>
    <w:link w:val="Header"/>
    <w:uiPriority w:val="99"/>
    <w:rsid w:val="00CB5A31"/>
    <w:rPr>
      <w:rFonts w:ascii="Times New Roman" w:eastAsia="SimSun" w:hAnsi="Times New Roman" w:cs="Times New Roman"/>
      <w:sz w:val="24"/>
      <w:szCs w:val="24"/>
    </w:rPr>
  </w:style>
  <w:style w:type="paragraph" w:styleId="Footer">
    <w:name w:val="footer"/>
    <w:basedOn w:val="Normal"/>
    <w:link w:val="FooterChar"/>
    <w:uiPriority w:val="99"/>
    <w:unhideWhenUsed/>
    <w:rsid w:val="00CB5A31"/>
    <w:pPr>
      <w:tabs>
        <w:tab w:val="center" w:pos="4320"/>
        <w:tab w:val="right" w:pos="8640"/>
      </w:tabs>
    </w:pPr>
  </w:style>
  <w:style w:type="character" w:customStyle="1" w:styleId="FooterChar">
    <w:name w:val="Footer Char"/>
    <w:basedOn w:val="DefaultParagraphFont"/>
    <w:link w:val="Footer"/>
    <w:uiPriority w:val="99"/>
    <w:rsid w:val="00CB5A31"/>
    <w:rPr>
      <w:rFonts w:ascii="Times New Roman" w:eastAsia="SimSu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55"/>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29A"/>
    <w:rPr>
      <w:rFonts w:ascii="Tahoma" w:hAnsi="Tahoma" w:cs="Tahoma"/>
      <w:sz w:val="16"/>
      <w:szCs w:val="16"/>
    </w:rPr>
  </w:style>
  <w:style w:type="character" w:customStyle="1" w:styleId="BalloonTextChar">
    <w:name w:val="Balloon Text Char"/>
    <w:basedOn w:val="DefaultParagraphFont"/>
    <w:link w:val="BalloonText"/>
    <w:uiPriority w:val="99"/>
    <w:semiHidden/>
    <w:rsid w:val="00F6429A"/>
    <w:rPr>
      <w:rFonts w:ascii="Tahoma" w:eastAsia="SimSun" w:hAnsi="Tahoma" w:cs="Tahoma"/>
      <w:sz w:val="16"/>
      <w:szCs w:val="16"/>
    </w:rPr>
  </w:style>
  <w:style w:type="character" w:styleId="PlaceholderText">
    <w:name w:val="Placeholder Text"/>
    <w:basedOn w:val="DefaultParagraphFont"/>
    <w:uiPriority w:val="99"/>
    <w:semiHidden/>
    <w:rsid w:val="00342970"/>
    <w:rPr>
      <w:color w:val="808080"/>
    </w:rPr>
  </w:style>
  <w:style w:type="paragraph" w:styleId="ListParagraph">
    <w:name w:val="List Paragraph"/>
    <w:basedOn w:val="Normal"/>
    <w:uiPriority w:val="34"/>
    <w:qFormat/>
    <w:rsid w:val="00342970"/>
    <w:pPr>
      <w:ind w:left="720"/>
      <w:contextualSpacing/>
    </w:pPr>
  </w:style>
  <w:style w:type="paragraph" w:styleId="Header">
    <w:name w:val="header"/>
    <w:basedOn w:val="Normal"/>
    <w:link w:val="HeaderChar"/>
    <w:uiPriority w:val="99"/>
    <w:unhideWhenUsed/>
    <w:rsid w:val="00CB5A31"/>
    <w:pPr>
      <w:tabs>
        <w:tab w:val="center" w:pos="4320"/>
        <w:tab w:val="right" w:pos="8640"/>
      </w:tabs>
    </w:pPr>
  </w:style>
  <w:style w:type="character" w:customStyle="1" w:styleId="HeaderChar">
    <w:name w:val="Header Char"/>
    <w:basedOn w:val="DefaultParagraphFont"/>
    <w:link w:val="Header"/>
    <w:uiPriority w:val="99"/>
    <w:rsid w:val="00CB5A31"/>
    <w:rPr>
      <w:rFonts w:ascii="Times New Roman" w:eastAsia="SimSun" w:hAnsi="Times New Roman" w:cs="Times New Roman"/>
      <w:sz w:val="24"/>
      <w:szCs w:val="24"/>
    </w:rPr>
  </w:style>
  <w:style w:type="paragraph" w:styleId="Footer">
    <w:name w:val="footer"/>
    <w:basedOn w:val="Normal"/>
    <w:link w:val="FooterChar"/>
    <w:uiPriority w:val="99"/>
    <w:unhideWhenUsed/>
    <w:rsid w:val="00CB5A31"/>
    <w:pPr>
      <w:tabs>
        <w:tab w:val="center" w:pos="4320"/>
        <w:tab w:val="right" w:pos="8640"/>
      </w:tabs>
    </w:pPr>
  </w:style>
  <w:style w:type="character" w:customStyle="1" w:styleId="FooterChar">
    <w:name w:val="Footer Char"/>
    <w:basedOn w:val="DefaultParagraphFont"/>
    <w:link w:val="Footer"/>
    <w:uiPriority w:val="99"/>
    <w:rsid w:val="00CB5A31"/>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400"/>
            </a:pPr>
            <a:r>
              <a:rPr lang="en-US" sz="1400"/>
              <a:t>Histogram of the Monthly Electricity Cost</a:t>
            </a:r>
          </a:p>
        </c:rich>
      </c:tx>
      <c:overlay val="0"/>
    </c:title>
    <c:autoTitleDeleted val="0"/>
    <c:plotArea>
      <c:layout/>
      <c:barChart>
        <c:barDir val="col"/>
        <c:grouping val="clustered"/>
        <c:varyColors val="0"/>
        <c:ser>
          <c:idx val="0"/>
          <c:order val="0"/>
          <c:spPr>
            <a:ln>
              <a:solidFill>
                <a:schemeClr val="tx1"/>
              </a:solidFill>
            </a:ln>
          </c:spPr>
          <c:invertIfNegative val="0"/>
          <c:cat>
            <c:numRef>
              <c:f>Sheet1!$E$2:$E$8</c:f>
              <c:numCache>
                <c:formatCode>"$"#,##0_);[Red]\("$"#,##0\)</c:formatCode>
                <c:ptCount val="7"/>
                <c:pt idx="0">
                  <c:v>90</c:v>
                </c:pt>
                <c:pt idx="1">
                  <c:v>110</c:v>
                </c:pt>
                <c:pt idx="2">
                  <c:v>130</c:v>
                </c:pt>
                <c:pt idx="3">
                  <c:v>150</c:v>
                </c:pt>
                <c:pt idx="4">
                  <c:v>170</c:v>
                </c:pt>
                <c:pt idx="5">
                  <c:v>190</c:v>
                </c:pt>
                <c:pt idx="6">
                  <c:v>210</c:v>
                </c:pt>
              </c:numCache>
            </c:numRef>
          </c:cat>
          <c:val>
            <c:numRef>
              <c:f>Sheet1!$C$2:$C$8</c:f>
              <c:numCache>
                <c:formatCode>0%</c:formatCode>
                <c:ptCount val="7"/>
                <c:pt idx="0">
                  <c:v>0.08</c:v>
                </c:pt>
                <c:pt idx="1">
                  <c:v>0.14000000000000001</c:v>
                </c:pt>
                <c:pt idx="2">
                  <c:v>0.18</c:v>
                </c:pt>
                <c:pt idx="3">
                  <c:v>0.26</c:v>
                </c:pt>
                <c:pt idx="4">
                  <c:v>0.18</c:v>
                </c:pt>
                <c:pt idx="5">
                  <c:v>0.1</c:v>
                </c:pt>
                <c:pt idx="6">
                  <c:v>0.06</c:v>
                </c:pt>
              </c:numCache>
            </c:numRef>
          </c:val>
        </c:ser>
        <c:dLbls>
          <c:showLegendKey val="0"/>
          <c:showVal val="0"/>
          <c:showCatName val="0"/>
          <c:showSerName val="0"/>
          <c:showPercent val="0"/>
          <c:showBubbleSize val="0"/>
        </c:dLbls>
        <c:gapWidth val="0"/>
        <c:axId val="37119104"/>
        <c:axId val="37121024"/>
      </c:barChart>
      <c:catAx>
        <c:axId val="37119104"/>
        <c:scaling>
          <c:orientation val="minMax"/>
        </c:scaling>
        <c:delete val="0"/>
        <c:axPos val="b"/>
        <c:title>
          <c:tx>
            <c:rich>
              <a:bodyPr/>
              <a:lstStyle/>
              <a:p>
                <a:pPr>
                  <a:defRPr/>
                </a:pPr>
                <a:r>
                  <a:rPr lang="en-US"/>
                  <a:t>Cost ($)</a:t>
                </a:r>
              </a:p>
            </c:rich>
          </c:tx>
          <c:overlay val="0"/>
        </c:title>
        <c:numFmt formatCode="&quot;$&quot;#,##0_);[Red]\(&quot;$&quot;#,##0\)" sourceLinked="1"/>
        <c:majorTickMark val="out"/>
        <c:minorTickMark val="none"/>
        <c:tickLblPos val="nextTo"/>
        <c:crossAx val="37121024"/>
        <c:crosses val="autoZero"/>
        <c:auto val="1"/>
        <c:lblAlgn val="ctr"/>
        <c:lblOffset val="100"/>
        <c:noMultiLvlLbl val="0"/>
      </c:catAx>
      <c:valAx>
        <c:axId val="37121024"/>
        <c:scaling>
          <c:orientation val="minMax"/>
        </c:scaling>
        <c:delete val="0"/>
        <c:axPos val="l"/>
        <c:majorGridlines/>
        <c:title>
          <c:tx>
            <c:rich>
              <a:bodyPr rot="-5400000" vert="horz"/>
              <a:lstStyle/>
              <a:p>
                <a:pPr>
                  <a:defRPr/>
                </a:pPr>
                <a:r>
                  <a:rPr lang="en-US"/>
                  <a:t>Percentage</a:t>
                </a:r>
              </a:p>
            </c:rich>
          </c:tx>
          <c:overlay val="0"/>
        </c:title>
        <c:numFmt formatCode="0%" sourceLinked="1"/>
        <c:majorTickMark val="out"/>
        <c:minorTickMark val="none"/>
        <c:tickLblPos val="nextTo"/>
        <c:crossAx val="37119104"/>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1930</Characters>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2016-09-29T07:20:00Z</dcterms:created>
  <dcterms:modified xsi:type="dcterms:W3CDTF">2016-09-29T07:20:00Z</dcterms:modified>
</cp:coreProperties>
</file>