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1458" w14:textId="42D1ABFF" w:rsidR="00F22EBE" w:rsidRPr="007A73D0" w:rsidRDefault="00000000" w:rsidP="007A73D0">
      <w:pPr>
        <w:spacing w:afterLines="100" w:after="240"/>
        <w:ind w:leftChars="50" w:left="110" w:rightChars="50" w:right="110" w:firstLineChars="200" w:firstLine="562"/>
        <w:jc w:val="center"/>
        <w:rPr>
          <w:rFonts w:eastAsia="宋体" w:hint="eastAsia"/>
          <w:lang w:eastAsia="zh-CN"/>
        </w:rPr>
      </w:pPr>
      <w:r>
        <w:rPr>
          <w:b/>
          <w:sz w:val="28"/>
        </w:rPr>
        <w:t xml:space="preserve">Supplementary </w:t>
      </w:r>
      <w:r w:rsidR="007A73D0">
        <w:rPr>
          <w:rFonts w:eastAsia="宋体" w:hint="eastAsia"/>
          <w:b/>
          <w:sz w:val="28"/>
          <w:lang w:eastAsia="zh-CN"/>
        </w:rPr>
        <w:t>Documents</w:t>
      </w:r>
    </w:p>
    <w:p w14:paraId="011957B4" w14:textId="77777777" w:rsidR="00F22EBE" w:rsidRDefault="00000000" w:rsidP="007A73D0">
      <w:pPr>
        <w:pStyle w:val="Heading1"/>
        <w:spacing w:before="0" w:afterLines="100" w:after="240"/>
        <w:ind w:leftChars="50" w:left="110" w:rightChars="50" w:right="110" w:firstLineChars="200" w:firstLine="482"/>
      </w:pPr>
      <w:bookmarkStart w:id="0" w:name="model-framework-and-state-variables"/>
      <w:r>
        <w:rPr>
          <w:rFonts w:ascii="Times New Roman" w:eastAsia="Times New Roman" w:hAnsi="Times New Roman"/>
        </w:rPr>
        <w:t>1. Model framework and state variables</w:t>
      </w:r>
    </w:p>
    <w:p w14:paraId="79546D8A" w14:textId="77777777" w:rsidR="00BD177E" w:rsidRDefault="00BD177E" w:rsidP="007A73D0">
      <w:pPr>
        <w:spacing w:afterLines="100" w:after="240"/>
        <w:ind w:firstLineChars="200" w:firstLine="440"/>
        <w:rPr>
          <w:rFonts w:eastAsia="宋体"/>
          <w:lang w:eastAsia="zh-CN"/>
        </w:rPr>
      </w:pPr>
      <w:r w:rsidRPr="00BD177E">
        <w:t>The current model is a transient one-dimensional sediment reactive transport model. It solves coupled transport and reactions for solid and dissolved species on a depth-resolved grid using a finite-volume method-of-lines framework. The resulting ODE system is integrated with MATLAB ode15s under constant forcing for spin-up or under user-defined transient forcing for future applications.</w:t>
      </w:r>
    </w:p>
    <w:p w14:paraId="44463ECD" w14:textId="6E194B34" w:rsidR="00F22EBE" w:rsidRDefault="00000000" w:rsidP="007A73D0">
      <w:pPr>
        <w:spacing w:afterLines="100" w:after="240"/>
        <w:ind w:firstLineChars="200" w:firstLine="440"/>
      </w:pPr>
      <w:r>
        <w:t xml:space="preserve">The model represents a </w:t>
      </w:r>
      <w:r w:rsidR="00843FE6">
        <w:rPr>
          <w:rFonts w:eastAsia="宋体" w:hint="eastAsia"/>
          <w:lang w:eastAsia="zh-CN"/>
        </w:rPr>
        <w:t>1-D</w:t>
      </w:r>
      <w:r>
        <w:t xml:space="preserve"> sediment column extending from the sediment-water interface to a prescribed lower boundary depth, </w:t>
      </w:r>
      <m:oMath>
        <m:r>
          <w:rPr>
            <w:rFonts w:ascii="Cambria Math" w:hAnsi="Cambria Math"/>
          </w:rPr>
          <m:t>L</m:t>
        </m:r>
      </m:oMath>
      <w:r>
        <w:t xml:space="preserve">. The vertical coordinate </w:t>
      </w:r>
      <m:oMath>
        <m:r>
          <w:rPr>
            <w:rFonts w:ascii="Cambria Math" w:hAnsi="Cambria Math"/>
          </w:rPr>
          <m:t>z</m:t>
        </m:r>
      </m:oMath>
      <w:r>
        <w:t xml:space="preserve"> is positive downward. The sediment column is discretized into </w:t>
      </w:r>
      <m:oMath>
        <m:r>
          <w:rPr>
            <w:rFonts w:ascii="Cambria Math" w:hAnsi="Cambria Math"/>
          </w:rPr>
          <m:t>n</m:t>
        </m:r>
      </m:oMath>
      <w:r>
        <w:t xml:space="preserve"> finite-volume grid cells with grid spacing </w:t>
      </w:r>
      <m:oMath>
        <m:r>
          <w:rPr>
            <w:rFonts w:ascii="Cambria Math" w:hAnsi="Cambria Math"/>
          </w:rPr>
          <m:t>Δz</m:t>
        </m:r>
      </m:oMath>
      <w:r>
        <w:t>. The coupled model state contains four solid-phase variables and eight dissolved variables.</w:t>
      </w:r>
    </w:p>
    <w:p w14:paraId="55E410F8" w14:textId="77777777" w:rsidR="00F22EBE" w:rsidRDefault="00000000" w:rsidP="007A73D0">
      <w:pPr>
        <w:pStyle w:val="BodyText"/>
        <w:spacing w:afterLines="100" w:after="240"/>
        <w:ind w:firstLineChars="200" w:firstLine="442"/>
      </w:pPr>
      <m:oMathPara>
        <m:oMathParaPr>
          <m:jc m:val="center"/>
        </m:oMathParaPr>
        <m:oMath>
          <m:r>
            <m:rPr>
              <m:sty m:val="b"/>
            </m:rPr>
            <w:rPr>
              <w:rFonts w:ascii="Cambria Math" w:hAnsi="Cambria Math"/>
            </w:rPr>
            <m:t>Y</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d</m:t>
                      </m:r>
                    </m:sub>
                  </m:sSub>
                </m:e>
              </m:d>
            </m:e>
            <m:sup>
              <m:r>
                <w:rPr>
                  <w:rFonts w:ascii="Cambria Math" w:hAnsi="Cambria Math"/>
                </w:rPr>
                <m:t>T</m:t>
              </m:r>
            </m:sup>
          </m:sSup>
          <m:r>
            <w:rPr>
              <w:rFonts w:ascii="Cambria Math" w:hAnsi="Cambria Math"/>
            </w:rPr>
            <m:t>  </m:t>
          </m:r>
          <m:d>
            <m:dPr>
              <m:ctrlPr>
                <w:rPr>
                  <w:rFonts w:ascii="Cambria Math" w:hAnsi="Cambria Math"/>
                </w:rPr>
              </m:ctrlPr>
            </m:dPr>
            <m:e>
              <m:r>
                <w:rPr>
                  <w:rFonts w:ascii="Cambria Math" w:hAnsi="Cambria Math"/>
                </w:rPr>
                <m:t>1</m:t>
              </m:r>
            </m:e>
          </m:d>
        </m:oMath>
      </m:oMathPara>
    </w:p>
    <w:p w14:paraId="296BDEE0" w14:textId="77777777" w:rsidR="00F22EBE" w:rsidRDefault="00000000" w:rsidP="007A73D0">
      <w:pPr>
        <w:spacing w:afterLines="100" w:after="240"/>
        <w:ind w:firstLineChars="200" w:firstLine="440"/>
      </w:pPr>
      <w:r>
        <w:t xml:space="preserve">where </w:t>
      </w:r>
      <m:oMath>
        <m:sSub>
          <m:sSubPr>
            <m:ctrlPr>
              <w:rPr>
                <w:rFonts w:ascii="Cambria Math" w:hAnsi="Cambria Math"/>
              </w:rPr>
            </m:ctrlPr>
          </m:sSubPr>
          <m:e>
            <m:r>
              <m:rPr>
                <m:sty m:val="b"/>
              </m:rPr>
              <w:rPr>
                <w:rFonts w:ascii="Cambria Math" w:hAnsi="Cambria Math"/>
              </w:rPr>
              <m:t>Y</m:t>
            </m:r>
          </m:e>
          <m:sub>
            <m:r>
              <w:rPr>
                <w:rFonts w:ascii="Cambria Math" w:hAnsi="Cambria Math"/>
              </w:rPr>
              <m:t>s</m:t>
            </m:r>
          </m:sub>
        </m:sSub>
      </m:oMath>
      <w:r>
        <w:t xml:space="preserve"> and </w:t>
      </w:r>
      <m:oMath>
        <m:sSub>
          <m:sSubPr>
            <m:ctrlPr>
              <w:rPr>
                <w:rFonts w:ascii="Cambria Math" w:hAnsi="Cambria Math"/>
              </w:rPr>
            </m:ctrlPr>
          </m:sSubPr>
          <m:e>
            <m:r>
              <m:rPr>
                <m:sty m:val="b"/>
              </m:rPr>
              <w:rPr>
                <w:rFonts w:ascii="Cambria Math" w:hAnsi="Cambria Math"/>
              </w:rPr>
              <m:t>Y</m:t>
            </m:r>
          </m:e>
          <m:sub>
            <m:r>
              <w:rPr>
                <w:rFonts w:ascii="Cambria Math" w:hAnsi="Cambria Math"/>
              </w:rPr>
              <m:t>d</m:t>
            </m:r>
          </m:sub>
        </m:sSub>
      </m:oMath>
      <w:r>
        <w:t xml:space="preserve"> are the solid-phase and dissolved-phase state vectors, respectively. The state variables are listed in Table 1.</w:t>
      </w:r>
    </w:p>
    <w:p w14:paraId="2A51F69E" w14:textId="77777777" w:rsidR="00F22EBE" w:rsidRDefault="00000000" w:rsidP="007A73D0">
      <w:pPr>
        <w:pStyle w:val="BodyText"/>
        <w:spacing w:afterLines="100" w:after="240"/>
        <w:ind w:firstLineChars="200" w:firstLine="440"/>
      </w:pPr>
      <w:r>
        <w:t xml:space="preserve">For </w:t>
      </w:r>
      <m:oMath>
        <m:r>
          <w:rPr>
            <w:rFonts w:ascii="Cambria Math" w:hAnsi="Cambria Math"/>
          </w:rPr>
          <m:t>n</m:t>
        </m:r>
      </m:oMath>
      <w:r>
        <w:t xml:space="preserve"> depth nodes and 12 state variables, the state vector has length </w:t>
      </w:r>
      <m:oMath>
        <m:r>
          <w:rPr>
            <w:rFonts w:ascii="Cambria Math" w:hAnsi="Cambria Math"/>
          </w:rPr>
          <m:t>12n</m:t>
        </m:r>
      </m:oMath>
      <w:r>
        <w:t>. The transient model is integrated as</w:t>
      </w:r>
    </w:p>
    <w:p w14:paraId="256ECA91" w14:textId="77777777" w:rsidR="00F22EBE" w:rsidRDefault="00000000" w:rsidP="007A73D0">
      <w:pPr>
        <w:pStyle w:val="BodyText"/>
        <w:spacing w:afterLines="100" w:after="240"/>
        <w:ind w:firstLineChars="200" w:firstLine="440"/>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Y</m:t>
              </m:r>
            </m:num>
            <m:den>
              <m:r>
                <w:rPr>
                  <w:rFonts w:ascii="Cambria Math" w:hAnsi="Cambria Math"/>
                </w:rPr>
                <m:t>dt</m:t>
              </m:r>
            </m:den>
          </m:f>
          <m:r>
            <m:rPr>
              <m:sty m:val="p"/>
            </m:rPr>
            <w:rPr>
              <w:rFonts w:ascii="Cambria Math" w:hAnsi="Cambria Math"/>
            </w:rPr>
            <m:t>=</m:t>
          </m:r>
          <m:r>
            <m:rPr>
              <m:sty m:val="b"/>
            </m:rP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Y</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65DD4E0" w14:textId="77777777" w:rsidR="00F22EBE" w:rsidRDefault="00000000" w:rsidP="007A73D0">
      <w:pPr>
        <w:spacing w:afterLines="100" w:after="240"/>
        <w:ind w:firstLineChars="200" w:firstLine="440"/>
      </w:pPr>
      <w:r>
        <w:t xml:space="preserve">where </w:t>
      </w:r>
      <m:oMath>
        <m:r>
          <m:rPr>
            <m:sty m:val="b"/>
          </m:rPr>
          <w:rPr>
            <w:rFonts w:ascii="Cambria Math" w:hAnsi="Cambria Math"/>
          </w:rPr>
          <m:t>F</m:t>
        </m:r>
      </m:oMath>
      <w:r>
        <w:t xml:space="preserve"> contains finite-volume transport, boundary exchange, and local reaction source/sink terms.</w:t>
      </w:r>
    </w:p>
    <w:p w14:paraId="55E22DAB" w14:textId="60FEEA56" w:rsidR="007A73D0" w:rsidRPr="007E1055" w:rsidRDefault="00000000" w:rsidP="007A73D0">
      <w:pPr>
        <w:spacing w:afterLines="100" w:after="240"/>
        <w:ind w:leftChars="50" w:left="110" w:rightChars="50" w:right="110" w:firstLineChars="200" w:firstLine="400"/>
        <w:rPr>
          <w:rFonts w:eastAsia="宋体" w:hint="eastAsia"/>
          <w:sz w:val="20"/>
          <w:lang w:eastAsia="zh-CN"/>
        </w:rPr>
      </w:pPr>
      <w:r>
        <w:rPr>
          <w:sz w:val="20"/>
        </w:rPr>
        <w:t>Table 1. Model state variables.</w:t>
      </w:r>
      <w:bookmarkStart w:id="1" w:name="Xcb46b2770f9879ec332f39857ec2f45b581627a"/>
      <w:bookmarkEnd w:id="0"/>
    </w:p>
    <w:p w14:paraId="5505FEA9" w14:textId="77777777" w:rsidR="007A73D0" w:rsidRPr="007A73D0" w:rsidRDefault="007A73D0" w:rsidP="007A73D0">
      <w:pPr>
        <w:spacing w:afterLines="100" w:after="240"/>
        <w:ind w:rightChars="50" w:right="110"/>
        <w:rPr>
          <w:rFonts w:eastAsia="宋体" w:hint="eastAsia"/>
          <w:lang w:eastAsia="zh-CN"/>
        </w:rPr>
      </w:pPr>
    </w:p>
    <w:p w14:paraId="57EE6367" w14:textId="34D476E6" w:rsidR="00F22EBE" w:rsidRDefault="00000000" w:rsidP="007A73D0">
      <w:pPr>
        <w:pStyle w:val="Heading1"/>
        <w:spacing w:before="0" w:afterLines="100" w:after="240"/>
        <w:ind w:leftChars="50" w:left="110" w:rightChars="50" w:right="110" w:firstLineChars="200" w:firstLine="482"/>
      </w:pPr>
      <w:r>
        <w:rPr>
          <w:rFonts w:ascii="Times New Roman" w:eastAsia="Times New Roman" w:hAnsi="Times New Roman"/>
        </w:rPr>
        <w:t>2. Sediment physical structure and transport equations</w:t>
      </w:r>
    </w:p>
    <w:p w14:paraId="6F684919" w14:textId="77777777" w:rsidR="00F22EBE" w:rsidRDefault="00000000" w:rsidP="007A73D0">
      <w:pPr>
        <w:spacing w:afterLines="100" w:after="240"/>
        <w:ind w:leftChars="50" w:left="110" w:rightChars="50" w:right="110" w:firstLineChars="200" w:firstLine="440"/>
      </w:pPr>
      <w:r>
        <w:t>Depth-dependent physical properties are prescribed from site-level parameters. Porosity, solid mixing, and porewater exchange are represented as exponentially decreasing functions of depth:</w:t>
      </w:r>
    </w:p>
    <w:p w14:paraId="0EC92664"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L</m:t>
                            </m:r>
                          </m:e>
                          <m:sub>
                            <m:r>
                              <w:rPr>
                                <w:rFonts w:ascii="Cambria Math" w:hAnsi="Cambria Math"/>
                              </w:rPr>
                              <m:t>ϕ</m:t>
                            </m:r>
                          </m:sub>
                        </m:sSub>
                      </m:den>
                    </m:f>
                  </m:e>
                </m:d>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L</m:t>
                            </m:r>
                          </m:e>
                          <m:sub>
                            <m:r>
                              <w:rPr>
                                <w:rFonts w:ascii="Cambria Math" w:hAnsi="Cambria Math"/>
                              </w:rPr>
                              <m:t>b</m:t>
                            </m:r>
                          </m:sub>
                        </m:sSub>
                      </m:den>
                    </m:f>
                  </m:e>
                </m:d>
                <m:r>
                  <m:rPr>
                    <m:sty m:val="p"/>
                  </m:rPr>
                  <w:rPr>
                    <w:rFonts w:ascii="Cambria Math" w:hAnsi="Cambria Math"/>
                  </w:rPr>
                  <m:t>,</m:t>
                </m:r>
              </m:e>
            </m:mr>
            <m:mr>
              <m:e>
                <m:r>
                  <w:rPr>
                    <w:rFonts w:ascii="Cambria Math" w:hAnsi="Cambria Math"/>
                  </w:rPr>
                  <m:t>α</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z</m:t>
                        </m:r>
                      </m:num>
                      <m:den>
                        <m:sSub>
                          <m:sSubPr>
                            <m:ctrlPr>
                              <w:rPr>
                                <w:rFonts w:ascii="Cambria Math" w:hAnsi="Cambria Math"/>
                              </w:rPr>
                            </m:ctrlPr>
                          </m:sSubPr>
                          <m:e>
                            <m:r>
                              <w:rPr>
                                <w:rFonts w:ascii="Cambria Math" w:hAnsi="Cambria Math"/>
                              </w:rPr>
                              <m:t>L</m:t>
                            </m:r>
                          </m:e>
                          <m:sub>
                            <m:r>
                              <w:rPr>
                                <w:rFonts w:ascii="Cambria Math" w:hAnsi="Cambria Math"/>
                              </w:rPr>
                              <m:t>α</m:t>
                            </m:r>
                          </m:sub>
                        </m:sSub>
                      </m:den>
                    </m:f>
                  </m:e>
                </m:d>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3</m:t>
              </m:r>
            </m:e>
          </m:d>
        </m:oMath>
      </m:oMathPara>
    </w:p>
    <w:p w14:paraId="55D289CB" w14:textId="77777777" w:rsidR="00F22EBE" w:rsidRDefault="00000000" w:rsidP="007A73D0">
      <w:pPr>
        <w:spacing w:afterLines="100" w:after="240"/>
        <w:ind w:leftChars="50" w:left="110" w:rightChars="50" w:right="110" w:firstLineChars="200" w:firstLine="440"/>
      </w:pPr>
      <w:r>
        <w:t xml:space="preserve">Here,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b</m:t>
            </m:r>
          </m:sub>
        </m:sSub>
      </m:oMath>
      <w:r>
        <w:t xml:space="preserve"> are surface and deep porosities, </w:t>
      </w:r>
      <m:oMath>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oMath>
      <w:r>
        <w:t xml:space="preserve"> are surface and deep solid mixing coefficients, and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are surface and deep porewater exchange coefficients. The parameters </w:t>
      </w:r>
      <m:oMath>
        <m:sSub>
          <m:sSubPr>
            <m:ctrlPr>
              <w:rPr>
                <w:rFonts w:ascii="Cambria Math" w:hAnsi="Cambria Math"/>
              </w:rPr>
            </m:ctrlPr>
          </m:sSubPr>
          <m:e>
            <m:r>
              <w:rPr>
                <w:rFonts w:ascii="Cambria Math" w:hAnsi="Cambria Math"/>
              </w:rPr>
              <m:t>L</m:t>
            </m:r>
          </m:e>
          <m:sub>
            <m:r>
              <w:rPr>
                <w:rFonts w:ascii="Cambria Math" w:hAnsi="Cambria Math"/>
              </w:rPr>
              <m:t>ϕ</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α</m:t>
            </m:r>
          </m:sub>
        </m:sSub>
      </m:oMath>
      <w:r>
        <w:t xml:space="preserve"> are the corresponding attenuation length scales.</w:t>
      </w:r>
    </w:p>
    <w:p w14:paraId="08FD04D2" w14:textId="77777777" w:rsidR="00F22EBE" w:rsidRDefault="00000000" w:rsidP="007A73D0">
      <w:pPr>
        <w:pStyle w:val="BodyText"/>
        <w:spacing w:afterLines="100" w:after="240"/>
        <w:ind w:leftChars="50" w:left="110" w:rightChars="50" w:right="110" w:firstLineChars="200" w:firstLine="440"/>
      </w:pPr>
      <w:r>
        <w:lastRenderedPageBreak/>
        <w:t>The solid burial velocity is adjusted for porosity,</w:t>
      </w:r>
    </w:p>
    <w:p w14:paraId="6DAE981F"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num>
            <m:den>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5E0EC111"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is the deep solid burial velocity. The organic matter reactivity profile is calculated from sediment age,</w:t>
      </w:r>
    </w:p>
    <w:p w14:paraId="771180EA"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i</m:t>
              </m:r>
            </m:sup>
            <m:e>
              <m:f>
                <m:fPr>
                  <m:ctrlPr>
                    <w:rPr>
                      <w:rFonts w:ascii="Cambria Math" w:hAnsi="Cambria Math"/>
                    </w:rPr>
                  </m:ctrlPr>
                </m:fPr>
                <m:num>
                  <m:r>
                    <w:rPr>
                      <w:rFonts w:ascii="Cambria Math" w:hAnsi="Cambria Math"/>
                    </w:rPr>
                    <m:t>Δz</m:t>
                  </m:r>
                </m:num>
                <m:den>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den>
              </m:f>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sed</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0.95</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0.81</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0ABD1028" w14:textId="2510B0E5" w:rsidR="007A73D0" w:rsidRDefault="00000000" w:rsidP="007A73D0">
      <w:pPr>
        <w:spacing w:afterLines="100" w:after="240"/>
        <w:ind w:leftChars="50" w:left="110" w:rightChars="50" w:right="110" w:firstLineChars="200" w:firstLine="440"/>
        <w:rPr>
          <w:rFonts w:eastAsia="宋体"/>
          <w:lang w:eastAsia="zh-CN"/>
        </w:rPr>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is the initial surface sediment age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is a site-level organic matter reactivity multiplier.</w:t>
      </w:r>
    </w:p>
    <w:p w14:paraId="1279DCAB"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0496CA3B" w14:textId="77777777" w:rsidR="00F22EBE" w:rsidRDefault="00000000" w:rsidP="007A73D0">
      <w:pPr>
        <w:pStyle w:val="Heading2"/>
        <w:spacing w:before="0" w:afterLines="100" w:after="240"/>
        <w:ind w:leftChars="50" w:left="110" w:rightChars="50" w:right="110" w:firstLineChars="200" w:firstLine="442"/>
      </w:pPr>
      <w:bookmarkStart w:id="2" w:name="solid-phase-transport"/>
      <w:r>
        <w:rPr>
          <w:rFonts w:ascii="Times New Roman" w:eastAsia="Times New Roman" w:hAnsi="Times New Roman"/>
        </w:rPr>
        <w:t>2.1 Solid-phase transport</w:t>
      </w:r>
    </w:p>
    <w:p w14:paraId="27D8E4D2" w14:textId="77777777" w:rsidR="00F22EBE" w:rsidRDefault="00000000" w:rsidP="007A73D0">
      <w:pPr>
        <w:spacing w:afterLines="100" w:after="240"/>
        <w:ind w:leftChars="50" w:left="110" w:rightChars="50" w:right="110" w:firstLineChars="200" w:firstLine="440"/>
      </w:pPr>
      <w:r>
        <w:t xml:space="preserve">For a solid-phase species </w:t>
      </w:r>
      <m:oMath>
        <m:sSub>
          <m:sSubPr>
            <m:ctrlPr>
              <w:rPr>
                <w:rFonts w:ascii="Cambria Math" w:hAnsi="Cambria Math"/>
              </w:rPr>
            </m:ctrlPr>
          </m:sSubPr>
          <m:e>
            <m:r>
              <w:rPr>
                <w:rFonts w:ascii="Cambria Math" w:hAnsi="Cambria Math"/>
              </w:rPr>
              <m:t>C</m:t>
            </m:r>
          </m:e>
          <m:sub>
            <m:r>
              <w:rPr>
                <w:rFonts w:ascii="Cambria Math" w:hAnsi="Cambria Math"/>
              </w:rPr>
              <m:t>s</m:t>
            </m:r>
          </m:sub>
        </m:sSub>
      </m:oMath>
      <w:r>
        <w:t>, the dry solid mass per bulk sediment volume is</w:t>
      </w:r>
    </w:p>
    <w:p w14:paraId="46CF0649"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ρ</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0F30E8A0" w14:textId="77777777" w:rsidR="00F22EBE" w:rsidRDefault="00000000" w:rsidP="007A73D0">
      <w:pPr>
        <w:spacing w:afterLines="100" w:after="240"/>
        <w:ind w:leftChars="50" w:left="110" w:rightChars="50" w:right="110" w:firstLineChars="200" w:firstLine="440"/>
      </w:pPr>
      <w:r>
        <w:t xml:space="preserve">where </w:t>
      </w:r>
      <m:oMath>
        <m:r>
          <w:rPr>
            <w:rFonts w:ascii="Cambria Math" w:hAnsi="Cambria Math"/>
          </w:rPr>
          <m:t>ρ</m:t>
        </m:r>
      </m:oMath>
      <w:r>
        <w:t xml:space="preserve"> is sediment solid density. The conservation equation is</w:t>
      </w:r>
    </w:p>
    <w:p w14:paraId="62590E40"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f>
            <m:fPr>
              <m:ctrlPr>
                <w:rPr>
                  <w:rFonts w:ascii="Cambria Math" w:hAnsi="Cambria Math"/>
                </w:rPr>
              </m:ctrlPr>
            </m:fPr>
            <m:num>
              <m:r>
                <m:rPr>
                  <m:sty m:val="p"/>
                </m:rP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C</m:t>
                      </m:r>
                    </m:e>
                    <m:sub>
                      <m:r>
                        <w:rPr>
                          <w:rFonts w:ascii="Cambria Math" w:hAnsi="Cambria Math"/>
                        </w:rPr>
                        <m:t>s</m:t>
                      </m:r>
                    </m:sub>
                  </m:sSub>
                </m:e>
              </m:d>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0D849C13"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is the solid-phase transport flux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is the local solid-phase reaction rate. The solid flux combines bioturbation-like mixing and burial,</w:t>
      </w:r>
    </w:p>
    <w:p w14:paraId="33642AD1"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r>
                <w:rPr>
                  <w:rFonts w:ascii="Cambria Math" w:hAnsi="Cambria Math"/>
                </w:rPr>
                <m:t>z</m:t>
              </m:r>
            </m:e>
          </m:d>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24CB6A52" w14:textId="77777777" w:rsidR="00F22EBE" w:rsidRDefault="00000000" w:rsidP="007A73D0">
      <w:pPr>
        <w:spacing w:afterLines="100" w:after="240"/>
        <w:ind w:leftChars="50" w:left="110" w:rightChars="50" w:right="110" w:firstLineChars="200" w:firstLine="440"/>
        <w:rPr>
          <w:rFonts w:eastAsia="宋体"/>
          <w:lang w:eastAsia="zh-CN"/>
        </w:rPr>
      </w:pPr>
      <w:r>
        <w:t xml:space="preserve">The upper boundary is imposed as a depositional flux </w:t>
      </w:r>
      <m:oMath>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0</m:t>
            </m:r>
          </m:sub>
        </m:sSub>
      </m:oMath>
      <w:r>
        <w:t>, and the lower boundary allows burial outflow with zero diffusive-gradient mixing.</w:t>
      </w:r>
    </w:p>
    <w:p w14:paraId="62DDD84C"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2ABA8FD3" w14:textId="77777777" w:rsidR="00F22EBE" w:rsidRDefault="00000000" w:rsidP="007A73D0">
      <w:pPr>
        <w:pStyle w:val="Heading2"/>
        <w:spacing w:before="0" w:afterLines="100" w:after="240"/>
        <w:ind w:leftChars="50" w:left="110" w:rightChars="50" w:right="110" w:firstLineChars="200" w:firstLine="442"/>
      </w:pPr>
      <w:bookmarkStart w:id="3" w:name="Xcf645963f7766f3595ff13aff7b5e6dfe5c73d5"/>
      <w:bookmarkEnd w:id="2"/>
      <w:r>
        <w:rPr>
          <w:rFonts w:ascii="Times New Roman" w:eastAsia="Times New Roman" w:hAnsi="Times New Roman"/>
        </w:rPr>
        <w:t>2.2 Dissolved-phase transport and finite-volume form</w:t>
      </w:r>
    </w:p>
    <w:p w14:paraId="522C68CB" w14:textId="77777777" w:rsidR="00F22EBE" w:rsidRDefault="00000000" w:rsidP="007A73D0">
      <w:pPr>
        <w:spacing w:afterLines="100" w:after="240"/>
        <w:ind w:leftChars="50" w:left="110" w:rightChars="50" w:right="110" w:firstLineChars="200" w:firstLine="440"/>
      </w:pPr>
      <w:r>
        <w:t xml:space="preserve">For a dissolved species </w:t>
      </w:r>
      <m:oMath>
        <m:r>
          <w:rPr>
            <w:rFonts w:ascii="Cambria Math" w:hAnsi="Cambria Math"/>
          </w:rPr>
          <m:t>C</m:t>
        </m:r>
      </m:oMath>
      <w:r>
        <w:t>, storage is porosity-weighted:</w:t>
      </w:r>
    </w:p>
    <w:p w14:paraId="0CBD171B"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f>
            <m:fPr>
              <m:ctrlPr>
                <w:rPr>
                  <w:rFonts w:ascii="Cambria Math" w:hAnsi="Cambria Math"/>
                </w:rPr>
              </m:ctrlPr>
            </m:fPr>
            <m:num>
              <m:r>
                <m:rPr>
                  <m:sty m:val="p"/>
                </m:rPr>
                <w:rPr>
                  <w:rFonts w:ascii="Cambria Math" w:hAnsi="Cambria Math"/>
                </w:rPr>
                <m:t>∂</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z</m:t>
                      </m:r>
                    </m:e>
                  </m:d>
                  <m:r>
                    <w:rPr>
                      <w:rFonts w:ascii="Cambria Math" w:hAnsi="Cambria Math"/>
                    </w:rPr>
                    <m:t>C</m:t>
                  </m:r>
                </m:e>
              </m:d>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w:rPr>
              <w:rFonts w:ascii="Cambria Math" w:hAnsi="Cambria Math"/>
            </w:rPr>
            <m:t>α</m:t>
          </m:r>
          <m:d>
            <m:dPr>
              <m:ctrlPr>
                <w:rPr>
                  <w:rFonts w:ascii="Cambria Math" w:hAnsi="Cambria Math"/>
                </w:rPr>
              </m:ctrlPr>
            </m:dPr>
            <m:e>
              <m:r>
                <w:rPr>
                  <w:rFonts w:ascii="Cambria Math" w:hAnsi="Cambria Math"/>
                </w:rPr>
                <m:t>z</m:t>
              </m:r>
            </m:e>
          </m:d>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top</m:t>
                  </m:r>
                </m:sub>
              </m:sSub>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4D2C14BD" w14:textId="77777777" w:rsidR="00F22EBE" w:rsidRDefault="00000000" w:rsidP="007A73D0">
      <w:pPr>
        <w:spacing w:afterLines="100" w:after="240"/>
        <w:ind w:leftChars="50" w:left="110" w:rightChars="50" w:right="110" w:firstLineChars="200" w:firstLine="440"/>
      </w:pPr>
      <w:r>
        <w:t xml:space="preserve">Here, </w:t>
      </w:r>
      <m:oMath>
        <m:r>
          <w:rPr>
            <w:rFonts w:ascii="Cambria Math" w:hAnsi="Cambria Math"/>
          </w:rPr>
          <m:t>F</m:t>
        </m:r>
      </m:oMath>
      <w:r>
        <w:t xml:space="preserve"> is the dissolved transport flux, </w:t>
      </w:r>
      <m:oMath>
        <m:r>
          <w:rPr>
            <w:rFonts w:ascii="Cambria Math" w:hAnsi="Cambria Math"/>
          </w:rPr>
          <m:t>R</m:t>
        </m:r>
      </m:oMath>
      <w:r>
        <w:t xml:space="preserve"> is the local bulk-volume reaction source/sink term, </w:t>
      </w:r>
      <m:oMath>
        <m:r>
          <w:rPr>
            <w:rFonts w:ascii="Cambria Math" w:hAnsi="Cambria Math"/>
          </w:rPr>
          <m:t>α</m:t>
        </m:r>
        <m:d>
          <m:dPr>
            <m:ctrlPr>
              <w:rPr>
                <w:rFonts w:ascii="Cambria Math" w:hAnsi="Cambria Math"/>
              </w:rPr>
            </m:ctrlPr>
          </m:dPr>
          <m:e>
            <m:r>
              <w:rPr>
                <w:rFonts w:ascii="Cambria Math" w:hAnsi="Cambria Math"/>
              </w:rPr>
              <m:t>z</m:t>
            </m:r>
          </m:e>
        </m:d>
      </m:oMath>
      <w:r>
        <w:t xml:space="preserve"> is the exchange coefficient, and </w:t>
      </w:r>
      <m:oMath>
        <m:sSub>
          <m:sSubPr>
            <m:ctrlPr>
              <w:rPr>
                <w:rFonts w:ascii="Cambria Math" w:hAnsi="Cambria Math"/>
              </w:rPr>
            </m:ctrlPr>
          </m:sSubPr>
          <m:e>
            <m:r>
              <w:rPr>
                <w:rFonts w:ascii="Cambria Math" w:hAnsi="Cambria Math"/>
              </w:rPr>
              <m:t>C</m:t>
            </m:r>
          </m:e>
          <m:sub>
            <m:r>
              <w:rPr>
                <w:rFonts w:ascii="Cambria Math" w:hAnsi="Cambria Math"/>
              </w:rPr>
              <m:t>top</m:t>
            </m:r>
          </m:sub>
        </m:sSub>
      </m:oMath>
      <w:r>
        <w:t xml:space="preserve"> is the overlying-water concentration used for the upper boundary and exchange term. The dissolved flux is</w:t>
      </w:r>
    </w:p>
    <w:p w14:paraId="2F247DC3"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w:lastRenderedPageBreak/>
            <m:t>F</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z</m:t>
              </m:r>
            </m:e>
          </m:d>
          <m:r>
            <w:rPr>
              <w:rFonts w:ascii="Cambria Math" w:hAnsi="Cambria Math"/>
            </w:rPr>
            <m:t>C</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25F97948" w14:textId="77777777" w:rsidR="00F22EBE" w:rsidRDefault="00000000" w:rsidP="007A73D0">
      <w:pPr>
        <w:spacing w:afterLines="100" w:after="240"/>
        <w:ind w:leftChars="50" w:left="110" w:rightChars="50" w:right="110" w:firstLineChars="200" w:firstLine="440"/>
      </w:pPr>
      <w:r>
        <w:t xml:space="preserve">where </w:t>
      </w:r>
      <m:oMath>
        <m:r>
          <w:rPr>
            <w:rFonts w:ascii="Cambria Math" w:hAnsi="Cambria Math"/>
          </w:rPr>
          <m:t>D</m:t>
        </m:r>
      </m:oMath>
      <w:r>
        <w:t xml:space="preserve"> is the species-specific effective diffusion coefficient and </w:t>
      </w:r>
      <m:oMath>
        <m:sSub>
          <m:sSubPr>
            <m:ctrlPr>
              <w:rPr>
                <w:rFonts w:ascii="Cambria Math" w:hAnsi="Cambria Math"/>
              </w:rPr>
            </m:ctrlPr>
          </m:sSubPr>
          <m:e>
            <m:r>
              <w:rPr>
                <w:rFonts w:ascii="Cambria Math" w:hAnsi="Cambria Math"/>
              </w:rPr>
              <m:t>w</m:t>
            </m:r>
          </m:e>
          <m:sub>
            <m:r>
              <w:rPr>
                <w:rFonts w:ascii="Cambria Math" w:hAnsi="Cambria Math"/>
              </w:rPr>
              <m:t>f</m:t>
            </m:r>
          </m:sub>
        </m:sSub>
        <m:d>
          <m:dPr>
            <m:ctrlPr>
              <w:rPr>
                <w:rFonts w:ascii="Cambria Math" w:hAnsi="Cambria Math"/>
              </w:rPr>
            </m:ctrlPr>
          </m:dPr>
          <m:e>
            <m:r>
              <w:rPr>
                <w:rFonts w:ascii="Cambria Math" w:hAnsi="Cambria Math"/>
              </w:rPr>
              <m:t>z</m:t>
            </m:r>
          </m:e>
        </m:d>
      </m:oMath>
      <w:r>
        <w:t xml:space="preserve"> is porewater advection velocity. In the current baseline configuration,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m:t>
        </m:r>
      </m:oMath>
      <w:r>
        <w:t xml:space="preserve">. The upper boundary is implemented through the finite-volume top face using </w:t>
      </w:r>
      <m:oMath>
        <m:sSub>
          <m:sSubPr>
            <m:ctrlPr>
              <w:rPr>
                <w:rFonts w:ascii="Cambria Math" w:hAnsi="Cambria Math"/>
              </w:rPr>
            </m:ctrlPr>
          </m:sSubPr>
          <m:e>
            <m:r>
              <w:rPr>
                <w:rFonts w:ascii="Cambria Math" w:hAnsi="Cambria Math"/>
              </w:rPr>
              <m:t>C</m:t>
            </m:r>
          </m:e>
          <m:sub>
            <m:r>
              <w:rPr>
                <w:rFonts w:ascii="Cambria Math" w:hAnsi="Cambria Math"/>
              </w:rPr>
              <m:t>top</m:t>
            </m:r>
          </m:sub>
        </m:sSub>
      </m:oMath>
      <w:r>
        <w:t>, and the lower boundary assumes zero diffusive gradient with possible advective outflow:</w:t>
      </w:r>
    </w:p>
    <w:p w14:paraId="6EAE9805"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top</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z</m:t>
                      </m:r>
                    </m:den>
                  </m:f>
                </m:e>
              </m:d>
            </m:e>
            <m:sub>
              <m:r>
                <w:rPr>
                  <w:rFonts w:ascii="Cambria Math" w:hAnsi="Cambria Math"/>
                </w:rPr>
                <m:t>z</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3B0AE1FE" w14:textId="77777777" w:rsidR="00F22EBE" w:rsidRDefault="00000000" w:rsidP="007A73D0">
      <w:pPr>
        <w:spacing w:afterLines="100" w:after="240"/>
        <w:ind w:leftChars="50" w:left="110" w:rightChars="50" w:right="110" w:firstLineChars="200" w:firstLine="440"/>
      </w:pPr>
      <w:r>
        <w:t xml:space="preserve">For grid cell </w:t>
      </w:r>
      <m:oMath>
        <m:r>
          <w:rPr>
            <w:rFonts w:ascii="Cambria Math" w:hAnsi="Cambria Math"/>
          </w:rPr>
          <m:t>i</m:t>
        </m:r>
      </m:oMath>
      <w:r>
        <w:t>, the finite-volume transport tendency is</w:t>
      </w:r>
    </w:p>
    <w:p w14:paraId="2B8C8F96"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dt</m:t>
                      </m:r>
                    </m:den>
                  </m:f>
                </m:e>
              </m:d>
            </m:e>
            <m:sub>
              <m:r>
                <w:rPr>
                  <w:rFonts w:ascii="Cambria Math" w:hAnsi="Cambria Math"/>
                </w:rPr>
                <m:t>trans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num>
            <m:den>
              <m:r>
                <w:rPr>
                  <w:rFonts w:ascii="Cambria Math" w:hAnsi="Cambria Math"/>
                </w:rPr>
                <m:t>Δz</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37FD980F" w14:textId="16BF48F9" w:rsidR="007A73D0" w:rsidRDefault="00000000" w:rsidP="007A73D0">
      <w:pPr>
        <w:spacing w:afterLines="100" w:after="240"/>
        <w:ind w:leftChars="50" w:left="110" w:rightChars="50" w:right="110" w:firstLineChars="200" w:firstLine="440"/>
        <w:rPr>
          <w:rFonts w:eastAsia="宋体"/>
          <w:lang w:eastAsia="zh-CN"/>
        </w:rPr>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for solid species and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for dissolved species. The formulation is conservative because fluxes are exchanged through shared cell faces.</w:t>
      </w:r>
      <w:bookmarkStart w:id="4" w:name="X3847aa88486844cd4ae2590b266d1693d42bb4d"/>
      <w:bookmarkEnd w:id="1"/>
      <w:bookmarkEnd w:id="3"/>
    </w:p>
    <w:p w14:paraId="38BD181D"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5BE949F9" w14:textId="178081BB" w:rsidR="00F22EBE" w:rsidRDefault="00000000" w:rsidP="007A73D0">
      <w:pPr>
        <w:pStyle w:val="Heading1"/>
        <w:spacing w:before="0" w:afterLines="100" w:after="240"/>
        <w:ind w:leftChars="50" w:left="110" w:rightChars="50" w:right="110" w:firstLineChars="200" w:firstLine="482"/>
      </w:pPr>
      <w:r>
        <w:rPr>
          <w:rFonts w:ascii="Times New Roman" w:eastAsia="Times New Roman" w:hAnsi="Times New Roman"/>
        </w:rPr>
        <w:t>3. Organic matter degradation and primary redox cascade</w:t>
      </w:r>
    </w:p>
    <w:p w14:paraId="1FC7C780" w14:textId="77777777" w:rsidR="00F22EBE" w:rsidRDefault="00000000" w:rsidP="007A73D0">
      <w:pPr>
        <w:spacing w:afterLines="100" w:after="240"/>
        <w:ind w:leftChars="50" w:left="110" w:rightChars="50" w:right="110" w:firstLineChars="200" w:firstLine="440"/>
      </w:pPr>
      <w:r>
        <w:t>Total organic matter input is prescribed directly or estimated from net primary production and burial efficiency:</w:t>
      </w:r>
    </w:p>
    <w:p w14:paraId="4E3D3E82" w14:textId="525F483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OM</m:t>
              </m:r>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BE</m:t>
          </m:r>
          <m:r>
            <m:rPr>
              <m:sty m:val="p"/>
            </m:rPr>
            <w:rPr>
              <w:rFonts w:ascii="Cambria Math" w:hAnsi="Cambria Math"/>
            </w:rPr>
            <m:t>⋅</m:t>
          </m:r>
          <m:r>
            <w:rPr>
              <w:rFonts w:ascii="Cambria Math" w:hAnsi="Cambria Math"/>
            </w:rPr>
            <m:t>NPP  </m:t>
          </m:r>
          <m:d>
            <m:dPr>
              <m:ctrlPr>
                <w:rPr>
                  <w:rFonts w:ascii="Cambria Math" w:hAnsi="Cambria Math"/>
                </w:rPr>
              </m:ctrlPr>
            </m:dPr>
            <m:e>
              <m:r>
                <w:rPr>
                  <w:rFonts w:ascii="Cambria Math" w:hAnsi="Cambria Math"/>
                </w:rPr>
                <m:t>13</m:t>
              </m:r>
            </m:e>
          </m:d>
        </m:oMath>
      </m:oMathPara>
    </w:p>
    <w:p w14:paraId="1E93E63B" w14:textId="7EAD3790" w:rsidR="00F22EBE" w:rsidRDefault="00000000" w:rsidP="007A73D0">
      <w:pPr>
        <w:spacing w:afterLines="100" w:after="240"/>
        <w:ind w:leftChars="50" w:left="110" w:rightChars="50" w:right="110" w:firstLineChars="200" w:firstLine="440"/>
      </w:pPr>
      <w:r>
        <w:t xml:space="preserve">Here, </w:t>
      </w:r>
      <m:oMath>
        <m:r>
          <w:rPr>
            <w:rFonts w:ascii="Cambria Math" w:hAnsi="Cambria Math"/>
          </w:rPr>
          <m:t>NPP</m:t>
        </m:r>
      </m:oMath>
      <w:r>
        <w:t xml:space="preserve"> is net primary production, </w:t>
      </w:r>
      <m:oMath>
        <m:r>
          <w:rPr>
            <w:rFonts w:ascii="Cambria Math" w:hAnsi="Cambria Math"/>
          </w:rPr>
          <m:t>BE</m:t>
        </m:r>
      </m:oMath>
      <w:r>
        <w:t xml:space="preserve"> is burial efficiency. Organic matter input is partitioned into labile and refractory pools,</w:t>
      </w:r>
    </w:p>
    <w:p w14:paraId="2AF43994" w14:textId="790464D4"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OM</m:t>
              </m:r>
              <m:r>
                <m:rPr>
                  <m:sty m:val="p"/>
                </m:rPr>
                <w:rPr>
                  <w:rFonts w:ascii="Cambria Math" w:hAnsi="Cambria Math"/>
                </w:rPr>
                <m:t>,</m:t>
              </m:r>
              <m:r>
                <w:rPr>
                  <w:rFonts w:ascii="Cambria Math" w:hAnsi="Cambria Math"/>
                </w:rPr>
                <m:t>lab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lab</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OM</m:t>
              </m:r>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OM</m:t>
              </m:r>
              <m:r>
                <m:rPr>
                  <m:sty m:val="p"/>
                </m:rPr>
                <w:rPr>
                  <w:rFonts w:ascii="Cambria Math" w:hAnsi="Cambria Math"/>
                </w:rPr>
                <m:t>,</m:t>
              </m:r>
              <m:r>
                <w:rPr>
                  <w:rFonts w:ascii="Cambria Math" w:hAnsi="Cambria Math"/>
                </w:rPr>
                <m:t>ref</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lab</m:t>
                  </m:r>
                </m:sub>
              </m:sSub>
            </m:e>
          </m:d>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OM</m:t>
              </m:r>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7651BBED" w14:textId="77777777" w:rsidR="00F22EBE" w:rsidRDefault="00000000" w:rsidP="007A73D0">
      <w:pPr>
        <w:spacing w:afterLines="100" w:after="240"/>
        <w:ind w:leftChars="50" w:left="110" w:rightChars="50" w:right="110" w:firstLineChars="200" w:firstLine="440"/>
      </w:pPr>
      <w:r>
        <w:t xml:space="preserve">The labile fraction </w:t>
      </w:r>
      <m:oMath>
        <m:sSub>
          <m:sSubPr>
            <m:ctrlPr>
              <w:rPr>
                <w:rFonts w:ascii="Cambria Math" w:hAnsi="Cambria Math"/>
              </w:rPr>
            </m:ctrlPr>
          </m:sSubPr>
          <m:e>
            <m:r>
              <w:rPr>
                <w:rFonts w:ascii="Cambria Math" w:hAnsi="Cambria Math"/>
              </w:rPr>
              <m:t>f</m:t>
            </m:r>
          </m:e>
          <m:sub>
            <m:r>
              <w:rPr>
                <w:rFonts w:ascii="Cambria Math" w:hAnsi="Cambria Math"/>
              </w:rPr>
              <m:t>lab</m:t>
            </m:r>
          </m:sub>
        </m:sSub>
      </m:oMath>
      <w:r>
        <w:t xml:space="preserve"> controls the fraction of organic matter input that is available for redox-active degradation. Temperature dependence is represented using a </w:t>
      </w:r>
      <m:oMath>
        <m:sSub>
          <m:sSubPr>
            <m:ctrlPr>
              <w:rPr>
                <w:rFonts w:ascii="Cambria Math" w:hAnsi="Cambria Math"/>
              </w:rPr>
            </m:ctrlPr>
          </m:sSubPr>
          <m:e>
            <m:r>
              <w:rPr>
                <w:rFonts w:ascii="Cambria Math" w:hAnsi="Cambria Math"/>
              </w:rPr>
              <m:t>Q</m:t>
            </m:r>
          </m:e>
          <m:sub>
            <m:r>
              <w:rPr>
                <w:rFonts w:ascii="Cambria Math" w:hAnsi="Cambria Math"/>
              </w:rPr>
              <m:t>10</m:t>
            </m:r>
          </m:sub>
        </m:sSub>
      </m:oMath>
      <w:r>
        <w:t xml:space="preserve"> correction,</w:t>
      </w:r>
    </w:p>
    <w:p w14:paraId="38A37925"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10</m:t>
              </m:r>
            </m:sub>
            <m:sup>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ref</m:t>
                      </m:r>
                    </m:sub>
                  </m:sSub>
                </m:e>
              </m:d>
              <m:r>
                <m:rPr>
                  <m:sty m:val="p"/>
                </m:rPr>
                <w:rPr>
                  <w:rFonts w:ascii="Cambria Math" w:hAnsi="Cambria Math"/>
                </w:rPr>
                <m:t>/</m:t>
              </m:r>
              <m:r>
                <w:rPr>
                  <w:rFonts w:ascii="Cambria Math" w:hAnsi="Cambria Math"/>
                </w:rPr>
                <m:t>10</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726B58A1" w14:textId="77777777" w:rsidR="00F22EBE" w:rsidRDefault="00000000" w:rsidP="007A73D0">
      <w:pPr>
        <w:spacing w:afterLines="100" w:after="240"/>
        <w:ind w:leftChars="50" w:left="110" w:rightChars="50" w:right="110" w:firstLineChars="200" w:firstLine="440"/>
      </w:pPr>
      <w:r>
        <w:t xml:space="preserve">where </w:t>
      </w:r>
      <m:oMath>
        <m:r>
          <w:rPr>
            <w:rFonts w:ascii="Cambria Math" w:hAnsi="Cambria Math"/>
          </w:rPr>
          <m:t>T</m:t>
        </m:r>
      </m:oMath>
      <w:r>
        <w:t xml:space="preserve"> is temperature and </w:t>
      </w:r>
      <m:oMath>
        <m:sSub>
          <m:sSubPr>
            <m:ctrlPr>
              <w:rPr>
                <w:rFonts w:ascii="Cambria Math" w:hAnsi="Cambria Math"/>
              </w:rPr>
            </m:ctrlPr>
          </m:sSubPr>
          <m:e>
            <m:r>
              <w:rPr>
                <w:rFonts w:ascii="Cambria Math" w:hAnsi="Cambria Math"/>
              </w:rPr>
              <m:t>T</m:t>
            </m:r>
          </m:e>
          <m:sub>
            <m:r>
              <w:rPr>
                <w:rFonts w:ascii="Cambria Math" w:hAnsi="Cambria Math"/>
              </w:rPr>
              <m:t>ref</m:t>
            </m:r>
          </m:sub>
        </m:sSub>
      </m:oMath>
      <w:r>
        <w:t xml:space="preserve"> is the reference temperature. The bulk-volume organic carbon mineralization rate is</w:t>
      </w:r>
    </w:p>
    <w:p w14:paraId="1B3410AD" w14:textId="09350722"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sed</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lab</m:t>
              </m:r>
            </m:sub>
          </m:sSub>
          <m:r>
            <m:rPr>
              <m:sty m:val="p"/>
            </m:rPr>
            <w:rPr>
              <w:rFonts w:ascii="Cambria Math" w:hAnsi="Cambria Math"/>
            </w:rPr>
            <m:t>⋅</m:t>
          </m:r>
          <m:f>
            <m:fPr>
              <m:ctrlPr>
                <w:rPr>
                  <w:rFonts w:ascii="Cambria Math" w:hAnsi="Cambria Math"/>
                </w:rPr>
              </m:ctrlPr>
            </m:fPr>
            <m:num>
              <m:r>
                <w:rPr>
                  <w:rFonts w:ascii="Cambria Math" w:hAnsi="Cambria Math"/>
                </w:rPr>
                <m:t>ρ</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e>
              </m:d>
            </m:num>
            <m:den>
              <m:r>
                <w:rPr>
                  <w:rFonts w:ascii="Cambria Math" w:hAnsi="Cambria Math"/>
                </w:rPr>
                <m:t>12</m:t>
              </m:r>
            </m:den>
          </m:f>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37707DD0" w14:textId="77777777" w:rsidR="00F22EBE" w:rsidRDefault="00000000" w:rsidP="007A73D0">
      <w:pPr>
        <w:spacing w:afterLines="100" w:after="240"/>
        <w:ind w:leftChars="50" w:left="110" w:rightChars="50" w:right="110" w:firstLineChars="200" w:firstLine="440"/>
      </w:pPr>
      <w:r>
        <w:t xml:space="preserve">The factor 12 converts carbon mass to moles under the implemented model convention, and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converts mol cm⁻³ to μmol L⁻¹. The labile pool supplies most redox-active carbon, whereas the refractory </w:t>
      </w:r>
      <w:r>
        <w:lastRenderedPageBreak/>
        <w:t xml:space="preserve">pool represents preserved organic matter inventory. In the current baseline configuration, refractory degradation is disabled by setting </w:t>
      </w:r>
      <m:oMath>
        <m:sSub>
          <m:sSubPr>
            <m:ctrlPr>
              <w:rPr>
                <w:rFonts w:ascii="Cambria Math" w:hAnsi="Cambria Math"/>
              </w:rPr>
            </m:ctrlPr>
          </m:sSubPr>
          <m:e>
            <m:r>
              <w:rPr>
                <w:rFonts w:ascii="Cambria Math" w:hAnsi="Cambria Math"/>
              </w:rPr>
              <m:t>k</m:t>
            </m:r>
          </m:e>
          <m:sub>
            <m:r>
              <w:rPr>
                <w:rFonts w:ascii="Cambria Math" w:hAnsi="Cambria Math"/>
              </w:rPr>
              <m:t>ref</m:t>
            </m:r>
          </m:sub>
        </m:sSub>
        <m:r>
          <m:rPr>
            <m:sty m:val="p"/>
          </m:rPr>
          <w:rPr>
            <w:rFonts w:ascii="Cambria Math" w:hAnsi="Cambria Math"/>
          </w:rPr>
          <m:t>=</m:t>
        </m:r>
        <m:r>
          <w:rPr>
            <w:rFonts w:ascii="Cambria Math" w:hAnsi="Cambria Math"/>
          </w:rPr>
          <m:t>0</m:t>
        </m:r>
      </m:oMath>
      <w:r>
        <w:t>.</w:t>
      </w:r>
    </w:p>
    <w:p w14:paraId="71975A8B" w14:textId="77777777" w:rsidR="00F22EBE" w:rsidRDefault="00000000" w:rsidP="007A73D0">
      <w:pPr>
        <w:pStyle w:val="BodyText"/>
        <w:spacing w:afterLines="100" w:after="240"/>
        <w:ind w:leftChars="50" w:left="110" w:rightChars="50" w:right="110" w:firstLineChars="200" w:firstLine="440"/>
      </w:pPr>
      <w:r>
        <w:t>Aerobic respiration is calculated as</w:t>
      </w:r>
    </w:p>
    <w:p w14:paraId="5679795C" w14:textId="2381DDB2"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resp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2</m:t>
                  </m:r>
                </m:sub>
              </m:sSub>
            </m:num>
            <m:den>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O</m:t>
                      </m:r>
                    </m:e>
                    <m:sub>
                      <m:r>
                        <w:rPr>
                          <w:rFonts w:ascii="Cambria Math" w:hAnsi="Cambria Math"/>
                        </w:rPr>
                        <m:t>2</m:t>
                      </m:r>
                    </m:sub>
                  </m:sSub>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p>
    <w:p w14:paraId="0D31A9CC"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O</m:t>
                </m:r>
              </m:e>
              <m:sub>
                <m:r>
                  <w:rPr>
                    <w:rFonts w:ascii="Cambria Math" w:hAnsi="Cambria Math"/>
                  </w:rPr>
                  <m:t>2</m:t>
                </m:r>
              </m:sub>
            </m:sSub>
          </m:sub>
        </m:sSub>
      </m:oMath>
      <w:r>
        <w:t xml:space="preserve"> is the oxygen half-saturation constant. The remaining carbon is sequentially allocated to Fe reduction, sulfate reduction, and methanogenesis.</w:t>
      </w:r>
    </w:p>
    <w:p w14:paraId="454BB5C0" w14:textId="77777777" w:rsidR="00F22EBE" w:rsidRDefault="00000000" w:rsidP="007A73D0">
      <w:pPr>
        <w:pStyle w:val="BodyText"/>
        <w:spacing w:afterLines="100" w:after="240"/>
        <w:ind w:leftChars="50" w:left="110" w:rightChars="50" w:right="110" w:firstLineChars="200" w:firstLine="440"/>
      </w:pPr>
      <w:r>
        <w:t>Local FeOOH availability is represented by</w:t>
      </w:r>
    </w:p>
    <w:p w14:paraId="04885AE6" w14:textId="7837D3C9"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Fe</m:t>
              </m:r>
            </m:sub>
          </m:sSub>
          <m:r>
            <m:rPr>
              <m:sty m:val="p"/>
            </m:rPr>
            <w:rPr>
              <w:rFonts w:ascii="Cambria Math" w:hAnsi="Cambria Math"/>
            </w:rPr>
            <m:t>=</m:t>
          </m:r>
          <m:f>
            <m:fPr>
              <m:ctrlPr>
                <w:rPr>
                  <w:rFonts w:ascii="Cambria Math" w:hAnsi="Cambria Math"/>
                </w:rPr>
              </m:ctrlPr>
            </m:fPr>
            <m:num>
              <m:r>
                <w:rPr>
                  <w:rFonts w:ascii="Cambria Math" w:hAnsi="Cambria Math"/>
                </w:rPr>
                <m:t>FeOOH</m:t>
              </m:r>
            </m:num>
            <m:den>
              <m:r>
                <w:rPr>
                  <w:rFonts w:ascii="Cambria Math" w:hAnsi="Cambria Math"/>
                </w:rPr>
                <m:t>FeOOH</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Fe</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FeRed</m:t>
              </m:r>
            </m:sub>
            <m:sup>
              <m:r>
                <w:rPr>
                  <w:rFonts w:ascii="Cambria Math" w:hAnsi="Cambria Math"/>
                </w:rPr>
                <m:t>pot</m:t>
              </m:r>
            </m:sup>
          </m:sSubSup>
          <m:r>
            <m:rPr>
              <m:sty m:val="p"/>
            </m:rPr>
            <w:rPr>
              <w:rFonts w:ascii="Cambria Math" w:hAnsi="Cambria Math"/>
            </w:rPr>
            <m:t>=</m:t>
          </m:r>
          <m:r>
            <w:rPr>
              <w:rFonts w:ascii="Cambria Math" w:hAnsi="Cambria Math"/>
            </w:rPr>
            <m:t>4</m:t>
          </m:r>
          <m:sSub>
            <m:sSubPr>
              <m:ctrlPr>
                <w:rPr>
                  <w:rFonts w:ascii="Cambria Math" w:hAnsi="Cambria Math"/>
                </w:rPr>
              </m:ctrlPr>
            </m:sSubPr>
            <m:e>
              <m:r>
                <m:rPr>
                  <m:sty m:val="p"/>
                </m:rPr>
                <w:rPr>
                  <w:rFonts w:ascii="Cambria Math" w:hAnsi="Cambria Math"/>
                </w:rPr>
                <m:t>⋅</m:t>
              </m:r>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1</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Fe</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p>
    <w:p w14:paraId="7E13DC5A" w14:textId="77777777" w:rsidR="00F22EBE" w:rsidRDefault="00000000" w:rsidP="007A73D0">
      <w:pPr>
        <w:spacing w:afterLines="100" w:after="240"/>
        <w:ind w:leftChars="50" w:left="110" w:rightChars="50" w:right="110" w:firstLineChars="200" w:firstLine="440"/>
      </w:pPr>
      <w:r>
        <w:t xml:space="preserve">Here, </w:t>
      </w:r>
      <m:oMath>
        <m:sSub>
          <m:sSubPr>
            <m:ctrlPr>
              <w:rPr>
                <w:rFonts w:ascii="Cambria Math" w:hAnsi="Cambria Math"/>
              </w:rPr>
            </m:ctrlPr>
          </m:sSubPr>
          <m:e>
            <m:r>
              <w:rPr>
                <w:rFonts w:ascii="Cambria Math" w:hAnsi="Cambria Math"/>
              </w:rPr>
              <m:t>K</m:t>
            </m:r>
          </m:e>
          <m:sub>
            <m:r>
              <w:rPr>
                <w:rFonts w:ascii="Cambria Math" w:hAnsi="Cambria Math"/>
              </w:rPr>
              <m:t>Fe</m:t>
            </m:r>
          </m:sub>
        </m:sSub>
      </m:oMath>
      <w:r>
        <w:t xml:space="preserve"> is the FeOOH availability constant, and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1</m:t>
            </m:r>
          </m:sub>
        </m:sSub>
      </m:oMath>
      <w:r>
        <w:t xml:space="preserve"> is the residual carbon after aerobic respiration. To separate local FeOOH inventory from sustained external Fe supply, potential Fe reduction is capped using</w:t>
      </w:r>
    </w:p>
    <w:p w14:paraId="5AF96EBE" w14:textId="2CFF6969" w:rsidR="00F22EBE" w:rsidRDefault="00000000" w:rsidP="007A73D0">
      <w:pPr>
        <w:pStyle w:val="BodyText"/>
        <w:spacing w:afterLines="100" w:after="240"/>
        <w:ind w:leftChars="50" w:left="110" w:rightChars="50" w:right="110" w:firstLineChars="200" w:firstLine="440"/>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FeRed</m:t>
              </m:r>
            </m:sub>
            <m:sup>
              <m:r>
                <w:rPr>
                  <w:rFonts w:ascii="Cambria Math" w:hAnsi="Cambria Math"/>
                </w:rPr>
                <m:t>pot</m:t>
              </m:r>
            </m:sup>
          </m:sSub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nary>
            <m:naryPr>
              <m:limLoc m:val="subSup"/>
              <m:ctrlPr>
                <w:rPr>
                  <w:rFonts w:ascii="Cambria Math" w:hAnsi="Cambria Math"/>
                </w:rPr>
              </m:ctrlPr>
            </m:naryPr>
            <m:sub>
              <m:r>
                <w:rPr>
                  <w:rFonts w:ascii="Cambria Math" w:hAnsi="Cambria Math"/>
                </w:rPr>
                <m:t>0</m:t>
              </m:r>
            </m:sub>
            <m:sup>
              <m:r>
                <w:rPr>
                  <w:rFonts w:ascii="Cambria Math" w:hAnsi="Cambria Math"/>
                </w:rPr>
                <m:t>L</m:t>
              </m:r>
            </m:sup>
            <m:e>
              <m:sSubSup>
                <m:sSubSupPr>
                  <m:ctrlPr>
                    <w:rPr>
                      <w:rFonts w:ascii="Cambria Math" w:hAnsi="Cambria Math"/>
                    </w:rPr>
                  </m:ctrlPr>
                </m:sSubSupPr>
                <m:e>
                  <m:r>
                    <w:rPr>
                      <w:rFonts w:ascii="Cambria Math" w:hAnsi="Cambria Math"/>
                    </w:rPr>
                    <m:t>R</m:t>
                  </m:r>
                </m:e>
                <m:sub>
                  <m:r>
                    <w:rPr>
                      <w:rFonts w:ascii="Cambria Math" w:hAnsi="Cambria Math"/>
                    </w:rPr>
                    <m:t>FeRed</m:t>
                  </m:r>
                </m:sub>
                <m:sup>
                  <m:r>
                    <w:rPr>
                      <w:rFonts w:ascii="Cambria Math" w:hAnsi="Cambria Math"/>
                    </w:rPr>
                    <m:t>pot</m:t>
                  </m:r>
                </m:sup>
              </m:sSubSup>
            </m:e>
          </m:nary>
          <m:r>
            <w:rPr>
              <w:rFonts w:ascii="Cambria Math" w:hAnsi="Cambria Math"/>
            </w:rPr>
            <m:t> dz</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Fe</m:t>
              </m:r>
            </m:sub>
            <m:sup>
              <m:r>
                <w:rPr>
                  <w:rFonts w:ascii="Cambria Math" w:hAnsi="Cambria Math"/>
                </w:rPr>
                <m:t>ext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FeOx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FeRed</m:t>
              </m:r>
            </m:sub>
          </m:sSub>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Fe</m:t>
                      </m:r>
                    </m:sub>
                    <m:sup>
                      <m:r>
                        <w:rPr>
                          <w:rFonts w:ascii="Cambria Math" w:hAnsi="Cambria Math"/>
                        </w:rPr>
                        <m:t>ext</m:t>
                      </m:r>
                    </m:sup>
                  </m:sSubSup>
                </m:num>
                <m:den>
                  <m:sSubSup>
                    <m:sSubSupPr>
                      <m:ctrlPr>
                        <w:rPr>
                          <w:rFonts w:ascii="Cambria Math" w:hAnsi="Cambria Math"/>
                        </w:rPr>
                      </m:ctrlPr>
                    </m:sSubSupPr>
                    <m:e>
                      <m:r>
                        <w:rPr>
                          <w:rFonts w:ascii="Cambria Math" w:hAnsi="Cambria Math"/>
                        </w:rPr>
                        <m:t>I</m:t>
                      </m:r>
                    </m:e>
                    <m:sub>
                      <m:r>
                        <w:rPr>
                          <w:rFonts w:ascii="Cambria Math" w:hAnsi="Cambria Math"/>
                        </w:rPr>
                        <m:t>FeRed</m:t>
                      </m:r>
                    </m:sub>
                    <m:sup>
                      <m:r>
                        <w:rPr>
                          <w:rFonts w:ascii="Cambria Math" w:hAnsi="Cambria Math"/>
                        </w:rPr>
                        <m:t>pot</m:t>
                      </m:r>
                    </m:sup>
                  </m:sSubSup>
                </m:den>
              </m:f>
            </m:e>
          </m:d>
          <m:sSubSup>
            <m:sSubSupPr>
              <m:ctrlPr>
                <w:rPr>
                  <w:rFonts w:ascii="Cambria Math" w:hAnsi="Cambria Math"/>
                </w:rPr>
              </m:ctrlPr>
            </m:sSubSupPr>
            <m:e>
              <m:r>
                <m:rPr>
                  <m:sty m:val="p"/>
                </m:rPr>
                <w:rPr>
                  <w:rFonts w:ascii="Cambria Math" w:hAnsi="Cambria Math"/>
                </w:rPr>
                <m:t>⋅</m:t>
              </m:r>
              <m:r>
                <w:rPr>
                  <w:rFonts w:ascii="Cambria Math" w:hAnsi="Cambria Math"/>
                </w:rPr>
                <m:t>R</m:t>
              </m:r>
            </m:e>
            <m:sub>
              <m:r>
                <w:rPr>
                  <w:rFonts w:ascii="Cambria Math" w:hAnsi="Cambria Math"/>
                </w:rPr>
                <m:t>FeRed</m:t>
              </m:r>
            </m:sub>
            <m:sup>
              <m:r>
                <w:rPr>
                  <w:rFonts w:ascii="Cambria Math" w:hAnsi="Cambria Math"/>
                </w:rPr>
                <m:t>pot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19</m:t>
              </m:r>
            </m:e>
          </m:d>
        </m:oMath>
      </m:oMathPara>
    </w:p>
    <w:p w14:paraId="2E1A4737" w14:textId="5D7B9A9D" w:rsidR="00F22EBE" w:rsidRDefault="00000000" w:rsidP="007A73D0">
      <w:pPr>
        <w:spacing w:afterLines="100" w:after="240"/>
        <w:ind w:leftChars="50" w:left="110" w:rightChars="50" w:right="110" w:firstLineChars="200" w:firstLine="440"/>
      </w:pPr>
      <w:r>
        <w:t>Sulfate reduction and methanogenesis are then represented as</w:t>
      </w:r>
    </w:p>
    <w:p w14:paraId="412ADACD" w14:textId="6C37B7F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SRR</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num>
            <m:den>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Meth</m:t>
              </m:r>
            </m:sub>
          </m:sSub>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p>
    <w:p w14:paraId="2418D1CD" w14:textId="77777777" w:rsidR="00F22EBE" w:rsidRDefault="00000000" w:rsidP="007A73D0">
      <w:pPr>
        <w:spacing w:afterLines="100" w:after="240"/>
        <w:ind w:leftChars="50" w:left="110" w:rightChars="50" w:right="110" w:firstLineChars="200" w:firstLine="440"/>
        <w:rPr>
          <w:rFonts w:eastAsia="宋体"/>
          <w:lang w:eastAsia="zh-CN"/>
        </w:rPr>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sub>
        </m:sSub>
      </m:oMath>
      <w:r>
        <w:t xml:space="preserve"> is the sulfate half-saturation constant,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2</m:t>
            </m:r>
          </m:sub>
        </m:sSub>
      </m:oMath>
      <w:r>
        <w:t xml:space="preserve"> is residual carbon after Fe reduction, and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3</m:t>
            </m:r>
          </m:sub>
        </m:sSub>
      </m:oMath>
      <w:r>
        <w:t xml:space="preserve"> is residual carbon after sulfate reduction. Sulfate-dependent reactions are shut off when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r>
              <m:rPr>
                <m:sty m:val="p"/>
              </m:rPr>
              <w:rPr>
                <w:rFonts w:ascii="Cambria Math" w:hAnsi="Cambria Math"/>
              </w:rPr>
              <m:t>,</m:t>
            </m:r>
            <m:r>
              <w:rPr>
                <w:rFonts w:ascii="Cambria Math" w:hAnsi="Cambria Math"/>
              </w:rPr>
              <m:t>cut</m:t>
            </m:r>
          </m:sub>
        </m:sSub>
      </m:oMath>
      <w:r>
        <w:t xml:space="preserve">, where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r>
              <m:rPr>
                <m:sty m:val="p"/>
              </m:rPr>
              <w:rPr>
                <w:rFonts w:ascii="Cambria Math" w:hAnsi="Cambria Math"/>
              </w:rPr>
              <m:t>,</m:t>
            </m:r>
            <m:r>
              <w:rPr>
                <w:rFonts w:ascii="Cambria Math" w:hAnsi="Cambria Math"/>
              </w:rPr>
              <m:t>cut</m:t>
            </m:r>
          </m:sub>
        </m:sSub>
      </m:oMath>
      <w:r>
        <w:t xml:space="preserve"> is a numerical depletion threshold.</w:t>
      </w:r>
    </w:p>
    <w:p w14:paraId="33FB75B2"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67356B74" w14:textId="77777777" w:rsidR="00F22EBE" w:rsidRDefault="00000000" w:rsidP="007A73D0">
      <w:pPr>
        <w:pStyle w:val="Heading1"/>
        <w:spacing w:before="0" w:afterLines="100" w:after="240"/>
        <w:ind w:leftChars="50" w:left="110" w:rightChars="50" w:right="110" w:firstLineChars="200" w:firstLine="482"/>
      </w:pPr>
      <w:bookmarkStart w:id="5" w:name="Xe17ec6d3287c72b2f13482a6b0c7ed8a1ce92ed"/>
      <w:bookmarkEnd w:id="4"/>
      <w:r>
        <w:rPr>
          <w:rFonts w:ascii="Times New Roman" w:eastAsia="Times New Roman" w:hAnsi="Times New Roman"/>
        </w:rPr>
        <w:t>4. Secondary Fe-S-CH</w:t>
      </w:r>
      <w:r w:rsidRPr="007E1055">
        <w:rPr>
          <w:rFonts w:ascii="Times New Roman" w:eastAsia="Times New Roman" w:hAnsi="Times New Roman"/>
          <w:vertAlign w:val="subscript"/>
        </w:rPr>
        <w:t>4</w:t>
      </w:r>
      <w:r>
        <w:rPr>
          <w:rFonts w:ascii="Times New Roman" w:eastAsia="Times New Roman" w:hAnsi="Times New Roman"/>
        </w:rPr>
        <w:t xml:space="preserve"> reactions and carbonate chemistry</w:t>
      </w:r>
    </w:p>
    <w:p w14:paraId="07683402" w14:textId="77777777" w:rsidR="00F22EBE" w:rsidRDefault="00000000" w:rsidP="007A73D0">
      <w:pPr>
        <w:spacing w:afterLines="100" w:after="240"/>
        <w:ind w:leftChars="50" w:left="110" w:rightChars="50" w:right="110" w:firstLineChars="200" w:firstLine="440"/>
      </w:pPr>
      <w:r>
        <w:t>Total sulfide is converted to a free sulfide fraction using pH:</w:t>
      </w:r>
    </w:p>
    <w:p w14:paraId="439FF5A9"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free</m:t>
              </m:r>
            </m:sub>
          </m:sSub>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tot</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r>
                    <m:rPr>
                      <m:sty m:val="p"/>
                    </m:rPr>
                    <w:rPr>
                      <w:rFonts w:ascii="Cambria Math" w:hAnsi="Cambria Math"/>
                    </w:rPr>
                    <m:t>-</m:t>
                  </m:r>
                  <m:r>
                    <w:rPr>
                      <w:rFonts w:ascii="Cambria Math" w:hAnsi="Cambria Math"/>
                    </w:rPr>
                    <m:t>pH</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HS</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m:t>
              </m:r>
            </m:e>
          </m:d>
        </m:oMath>
      </m:oMathPara>
    </w:p>
    <w:p w14:paraId="6AA0326D"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HS</m:t>
            </m:r>
          </m:sub>
        </m:sSub>
      </m:oMath>
      <w:r>
        <w:t xml:space="preserve"> controls the pH-dependent free sulfide fraction. Fe(II) oxidation, FeS formation, sulfide oxidation, AOM, and aerobic methane oxidation are represented by</w:t>
      </w:r>
    </w:p>
    <w:p w14:paraId="1EBB7E3B" w14:textId="63B37093" w:rsidR="00F22EBE" w:rsidRDefault="00000000" w:rsidP="007A73D0">
      <w:pPr>
        <w:pStyle w:val="BodyText"/>
        <w:spacing w:afterLines="100" w:after="240"/>
        <w:ind w:leftChars="50" w:left="110" w:rightChars="50" w:right="110" w:firstLineChars="200" w:firstLine="44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FeOx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FeOx</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II</m:t>
                    </m:r>
                  </m:sub>
                </m:s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FeS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FeS</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II</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free</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HSOx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HSOx</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free</m:t>
                    </m:r>
                  </m:sub>
                </m:sSub>
                <m:sSub>
                  <m:sSubPr>
                    <m:ctrlPr>
                      <w:rPr>
                        <w:rFonts w:ascii="Cambria Math" w:hAnsi="Cambria Math"/>
                      </w:rPr>
                    </m:ctrlPr>
                  </m:sSubPr>
                  <m:e>
                    <m:r>
                      <m:rPr>
                        <m:sty m:val="p"/>
                      </m:rPr>
                      <w:rPr>
                        <w:rFonts w:ascii="Cambria Math" w:hAnsi="Cambria Math"/>
                      </w:rPr>
                      <m:t>⋅</m:t>
                    </m:r>
                    <m:r>
                      <w:rPr>
                        <w:rFonts w:ascii="Cambria Math" w:hAnsi="Cambria Math"/>
                      </w:rPr>
                      <m:t>O</m:t>
                    </m:r>
                  </m:e>
                  <m:sub>
                    <m: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AOM</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num>
                  <m:den>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sSub>
                      <m:sSubPr>
                        <m:ctrlPr>
                          <w:rPr>
                            <w:rFonts w:ascii="Cambria Math" w:hAnsi="Cambria Math"/>
                            <w:i/>
                          </w:rPr>
                        </m:ctrlPr>
                      </m:sSubPr>
                      <m:e>
                        <m:r>
                          <w:rPr>
                            <w:rFonts w:ascii="Cambria Math" w:hAnsi="Cambria Math"/>
                          </w:rPr>
                          <m:t>CH</m:t>
                        </m:r>
                      </m:e>
                      <m:sub>
                        <m:r>
                          <w:rPr>
                            <w:rFonts w:ascii="Cambria Math" w:hAnsi="Cambria Math"/>
                          </w:rPr>
                          <m:t>4</m:t>
                        </m:r>
                      </m:sub>
                    </m:sSub>
                    <m:r>
                      <w:rPr>
                        <w:rFonts w:ascii="Cambria Math" w:hAnsi="Cambria Math"/>
                      </w:rPr>
                      <m:t>Ox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i/>
                          </w:rPr>
                        </m:ctrlPr>
                      </m:sSubPr>
                      <m:e>
                        <m:r>
                          <w:rPr>
                            <w:rFonts w:ascii="Cambria Math" w:hAnsi="Cambria Math"/>
                          </w:rPr>
                          <m:t>CH</m:t>
                        </m:r>
                      </m:e>
                      <m:sub>
                        <m:r>
                          <w:rPr>
                            <w:rFonts w:ascii="Cambria Math" w:hAnsi="Cambria Math"/>
                          </w:rPr>
                          <m:t>4</m:t>
                        </m:r>
                      </m:sub>
                    </m:sSub>
                    <m:r>
                      <w:rPr>
                        <w:rFonts w:ascii="Cambria Math" w:hAnsi="Cambria Math"/>
                      </w:rPr>
                      <m:t>Ox</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2</m:t>
                        </m:r>
                      </m:sub>
                    </m:sSub>
                  </m:num>
                  <m:den>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sub>
                    </m:sSub>
                  </m:den>
                </m:f>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22</m:t>
              </m:r>
            </m:e>
          </m:d>
        </m:oMath>
      </m:oMathPara>
    </w:p>
    <w:p w14:paraId="19E64FDD" w14:textId="77777777" w:rsidR="00F22EBE" w:rsidRDefault="00000000" w:rsidP="007A73D0">
      <w:pPr>
        <w:spacing w:afterLines="100" w:after="240"/>
        <w:ind w:leftChars="50" w:left="110" w:rightChars="50" w:right="110" w:firstLineChars="200" w:firstLine="440"/>
      </w:pPr>
      <w:r>
        <w:t>The associated secondary oxygen sink is</w:t>
      </w:r>
    </w:p>
    <w:p w14:paraId="33928E21" w14:textId="4D708C05"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sec</m:t>
              </m:r>
            </m:sub>
          </m:sSub>
          <m:r>
            <m:rPr>
              <m:sty m:val="p"/>
            </m:rP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R</m:t>
              </m:r>
            </m:e>
            <m:sub>
              <m:r>
                <w:rPr>
                  <w:rFonts w:ascii="Cambria Math" w:hAnsi="Cambria Math"/>
                </w:rPr>
                <m:t>FeOx</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HSOx</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sSub>
                <m:sSubPr>
                  <m:ctrlPr>
                    <w:rPr>
                      <w:rFonts w:ascii="Cambria Math" w:hAnsi="Cambria Math"/>
                      <w:i/>
                    </w:rPr>
                  </m:ctrlPr>
                </m:sSubPr>
                <m:e>
                  <m:r>
                    <w:rPr>
                      <w:rFonts w:ascii="Cambria Math" w:hAnsi="Cambria Math"/>
                    </w:rPr>
                    <m:t>C</m:t>
                  </m:r>
                  <m:r>
                    <w:rPr>
                      <w:rFonts w:ascii="Cambria Math" w:eastAsia="宋体" w:hAnsi="Cambria Math"/>
                      <w:lang w:eastAsia="zh-CN"/>
                    </w:rPr>
                    <m:t>H</m:t>
                  </m:r>
                </m:e>
                <m:sub>
                  <m:r>
                    <w:rPr>
                      <w:rFonts w:ascii="Cambria Math" w:hAnsi="Cambria Math"/>
                    </w:rPr>
                    <m:t>4</m:t>
                  </m:r>
                </m:sub>
              </m:sSub>
              <m:r>
                <w:rPr>
                  <w:rFonts w:ascii="Cambria Math" w:hAnsi="Cambria Math"/>
                </w:rPr>
                <m:t>Ox</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14:paraId="18634E59" w14:textId="77777777" w:rsidR="00F22EBE" w:rsidRDefault="00000000" w:rsidP="007A73D0">
      <w:pPr>
        <w:spacing w:afterLines="100" w:after="240"/>
        <w:ind w:leftChars="50" w:left="110" w:rightChars="50" w:right="110" w:firstLineChars="200" w:firstLine="440"/>
      </w:pPr>
      <w:r>
        <w:t>Methane ebullition is represented as a dissolved methane loss term above an effective threshold:</w:t>
      </w:r>
    </w:p>
    <w:p w14:paraId="34C17550" w14:textId="229C0A38"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Bubble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Bubble</m:t>
              </m:r>
            </m:sub>
          </m:sSub>
          <m:r>
            <m:rPr>
              <m:sty m:val="p"/>
            </m:rP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r>
                    <m:rPr>
                      <m:sty m:val="p"/>
                    </m:rPr>
                    <w:rPr>
                      <w:rFonts w:ascii="Cambria Math" w:hAnsi="Cambria Math"/>
                    </w:rPr>
                    <m:t>,</m:t>
                  </m:r>
                  <m:r>
                    <w:rPr>
                      <w:rFonts w:ascii="Cambria Math" w:hAnsi="Cambria Math"/>
                    </w:rPr>
                    <m:t>thr</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24</m:t>
              </m:r>
            </m:e>
          </m:d>
        </m:oMath>
      </m:oMathPara>
    </w:p>
    <w:p w14:paraId="7CBE54C0" w14:textId="77777777" w:rsidR="00F22EBE" w:rsidRDefault="00000000" w:rsidP="007A73D0">
      <w:pPr>
        <w:spacing w:afterLines="100" w:after="240"/>
        <w:ind w:leftChars="50" w:left="110" w:rightChars="50" w:right="110" w:firstLineChars="200" w:firstLine="440"/>
      </w:pPr>
      <w:r>
        <w:t>Carbonate speciation is calculated from DIC and alkalinity. The model uses</w:t>
      </w:r>
    </w:p>
    <w:p w14:paraId="2CC65006"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r>
            <w:rPr>
              <w:rFonts w:ascii="Cambria Math" w:hAnsi="Cambria Math"/>
            </w:rPr>
            <m:t>DIC</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HC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 ALK</m:t>
          </m:r>
          <m:r>
            <m:rPr>
              <m:sty m:val="p"/>
            </m:rPr>
            <w:rPr>
              <w:rFonts w:ascii="Cambria Math" w:hAnsi="Cambria Math"/>
            </w:rPr>
            <m:t>=</m:t>
          </m:r>
          <m:r>
            <w:rPr>
              <w:rFonts w:ascii="Cambria Math" w:hAnsi="Cambria Math"/>
            </w:rPr>
            <m:t>HC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2C</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B</m:t>
          </m:r>
          <m:sSub>
            <m:sSubPr>
              <m:ctrlPr>
                <w:rPr>
                  <w:rFonts w:ascii="Cambria Math" w:hAnsi="Cambria Math"/>
                </w:rPr>
              </m:ctrlPr>
            </m:sSubPr>
            <m:e>
              <m:d>
                <m:dPr>
                  <m:ctrlPr>
                    <w:rPr>
                      <w:rFonts w:ascii="Cambria Math" w:hAnsi="Cambria Math"/>
                    </w:rPr>
                  </m:ctrlPr>
                </m:dPr>
                <m:e>
                  <m:r>
                    <w:rPr>
                      <w:rFonts w:ascii="Cambria Math" w:hAnsi="Cambria Math"/>
                    </w:rPr>
                    <m:t>OH</m:t>
                  </m:r>
                </m:e>
              </m:d>
            </m:e>
            <m:sub>
              <m:r>
                <w:rPr>
                  <w:rFonts w:ascii="Cambria Math" w:hAnsi="Cambria Math"/>
                </w:rPr>
                <m:t>4</m:t>
              </m:r>
            </m:sub>
          </m:sSub>
          <m:r>
            <m:rPr>
              <m:sty m:val="p"/>
            </m:rPr>
            <w:rPr>
              <w:rFonts w:ascii="Cambria Math" w:hAnsi="Cambria Math"/>
            </w:rPr>
            <m:t>+</m:t>
          </m:r>
          <m:r>
            <w:rPr>
              <w:rFonts w:ascii="Cambria Math" w:hAnsi="Cambria Math"/>
            </w:rPr>
            <m:t>OH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4EF8BCD6" w14:textId="77777777" w:rsidR="00F22EBE" w:rsidRDefault="00000000" w:rsidP="007A73D0">
      <w:pPr>
        <w:spacing w:afterLines="100" w:after="240"/>
        <w:ind w:leftChars="50" w:left="110" w:rightChars="50" w:right="110" w:firstLineChars="200" w:firstLine="440"/>
      </w:pPr>
      <w:r>
        <w:t>Calcite saturation is represented as</w:t>
      </w:r>
    </w:p>
    <w:p w14:paraId="37714299" w14:textId="1FF00519"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carb</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Ca</m:t>
                  </m:r>
                </m:sub>
              </m:sSub>
              <m:r>
                <m:rPr>
                  <m:sty m:val="p"/>
                </m:rPr>
                <w:rPr>
                  <w:rFonts w:ascii="Cambria Math" w:hAnsi="Cambria Math"/>
                </w:rPr>
                <m:t>⋅</m:t>
              </m:r>
              <m:sSup>
                <m:sSupPr>
                  <m:ctrlPr>
                    <w:rPr>
                      <w:rFonts w:ascii="Cambria Math" w:hAnsi="Cambria Math"/>
                      <w:i/>
                    </w:rPr>
                  </m:ctrlPr>
                </m:sSupPr>
                <m:e>
                  <m:r>
                    <w:rPr>
                      <w:rFonts w:ascii="Cambria Math" w:hAnsi="Cambria Math"/>
                    </w:rPr>
                    <m:t>Ca</m:t>
                  </m:r>
                </m:e>
                <m:sup>
                  <m:r>
                    <w:rPr>
                      <w:rFonts w:ascii="Cambria Math" w:hAnsi="Cambria Math"/>
                    </w:rPr>
                    <m:t>2</m:t>
                  </m:r>
                  <m:r>
                    <w:rPr>
                      <w:rFonts w:ascii="Cambria Math" w:eastAsia="宋体" w:hAnsi="Cambria Math"/>
                      <w:lang w:eastAsia="zh-CN"/>
                    </w:rPr>
                    <m:t>+</m:t>
                  </m:r>
                </m:sup>
              </m:sSup>
              <m:sSub>
                <m:sSubPr>
                  <m:ctrlPr>
                    <w:rPr>
                      <w:rFonts w:ascii="Cambria Math" w:hAnsi="Cambria Math"/>
                    </w:rPr>
                  </m:ctrlPr>
                </m:sSubPr>
                <m:e>
                  <m:r>
                    <m:rPr>
                      <m:sty m:val="p"/>
                    </m:rPr>
                    <w:rPr>
                      <w:rFonts w:ascii="Cambria Math" w:hAnsi="Cambria Math"/>
                    </w:rPr>
                    <m:t>⋅</m:t>
                  </m:r>
                  <m:r>
                    <w:rPr>
                      <w:rFonts w:ascii="Cambria Math" w:hAnsi="Cambria Math"/>
                    </w:rPr>
                    <m:t>γ</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sub>
              </m:sSub>
              <m:r>
                <m:rPr>
                  <m:sty m:val="p"/>
                </m:rPr>
                <w:rPr>
                  <w:rFonts w:ascii="Cambria Math" w:hAnsi="Cambria Math"/>
                </w:rPr>
                <m:t>⋅</m:t>
              </m:r>
              <m:sSup>
                <m:sSupPr>
                  <m:ctrlPr>
                    <w:rPr>
                      <w:rFonts w:ascii="Cambria Math" w:hAnsi="Cambria Math"/>
                      <w:i/>
                    </w:rPr>
                  </m:ctrlPr>
                </m:sSupPr>
                <m:e>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e>
                <m:sup>
                  <m:r>
                    <w:rPr>
                      <w:rFonts w:ascii="Cambria Math" w:hAnsi="Cambria Math"/>
                    </w:rPr>
                    <m:t>2</m:t>
                  </m:r>
                  <m:r>
                    <w:rPr>
                      <w:rFonts w:ascii="Cambria Math" w:eastAsia="宋体" w:hAnsi="Cambria Math"/>
                      <w:lang w:eastAsia="zh-CN"/>
                    </w:rPr>
                    <m:t>-</m:t>
                  </m:r>
                </m:sup>
              </m:sSup>
            </m:num>
            <m:den>
              <m:sSub>
                <m:sSubPr>
                  <m:ctrlPr>
                    <w:rPr>
                      <w:rFonts w:ascii="Cambria Math" w:hAnsi="Cambria Math"/>
                    </w:rPr>
                  </m:ctrlPr>
                </m:sSubPr>
                <m:e>
                  <m:r>
                    <w:rPr>
                      <w:rFonts w:ascii="Cambria Math" w:hAnsi="Cambria Math"/>
                    </w:rPr>
                    <m:t>K</m:t>
                  </m:r>
                </m:e>
                <m:sub>
                  <m:r>
                    <w:rPr>
                      <w:rFonts w:ascii="Cambria Math" w:hAnsi="Cambria Math"/>
                    </w:rPr>
                    <m:t>sp</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26</m:t>
              </m:r>
            </m:e>
          </m:d>
        </m:oMath>
      </m:oMathPara>
    </w:p>
    <w:p w14:paraId="0F14ADCB" w14:textId="77777777" w:rsidR="00F22EBE" w:rsidRDefault="00000000" w:rsidP="007A73D0">
      <w:pPr>
        <w:spacing w:afterLines="100" w:after="240"/>
        <w:ind w:leftChars="50" w:left="110" w:rightChars="50" w:right="110" w:firstLineChars="200" w:firstLine="440"/>
        <w:rPr>
          <w:rFonts w:eastAsia="宋体"/>
          <w:lang w:eastAsia="zh-CN"/>
        </w:rPr>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Ca</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sub>
        </m:sSub>
      </m:oMath>
      <w:r>
        <w:t xml:space="preserve"> are activity coefficients and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is the calcite solubility product. Net carbonate reaction is represented by </w:t>
      </w:r>
      <m:oMath>
        <m:sSub>
          <m:sSubPr>
            <m:ctrlPr>
              <w:rPr>
                <w:rFonts w:ascii="Cambria Math" w:hAnsi="Cambria Math"/>
              </w:rPr>
            </m:ctrlPr>
          </m:sSubPr>
          <m:e>
            <m:r>
              <w:rPr>
                <w:rFonts w:ascii="Cambria Math" w:hAnsi="Cambria Math"/>
              </w:rPr>
              <m:t>R</m:t>
            </m:r>
          </m:e>
          <m:sub>
            <m:r>
              <w:rPr>
                <w:rFonts w:ascii="Cambria Math" w:hAnsi="Cambria Math"/>
              </w:rPr>
              <m:t>carb</m:t>
            </m:r>
          </m:sub>
        </m:sSub>
      </m:oMath>
      <w:r>
        <w:t>, with positive values indicating precipitation and negative values indicating dissolution.</w:t>
      </w:r>
    </w:p>
    <w:p w14:paraId="4DF71A14"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275BFFCB" w14:textId="77777777" w:rsidR="00F22EBE" w:rsidRDefault="00000000" w:rsidP="007A73D0">
      <w:pPr>
        <w:pStyle w:val="Heading1"/>
        <w:spacing w:before="0" w:afterLines="100" w:after="240"/>
        <w:ind w:leftChars="50" w:left="110" w:rightChars="50" w:right="110" w:firstLineChars="200" w:firstLine="482"/>
      </w:pPr>
      <w:bookmarkStart w:id="6" w:name="net-reaction-source-sink-ledgers"/>
      <w:bookmarkEnd w:id="5"/>
      <w:r>
        <w:rPr>
          <w:rFonts w:ascii="Times New Roman" w:eastAsia="Times New Roman" w:hAnsi="Times New Roman"/>
        </w:rPr>
        <w:t>5. Net reaction source-sink ledgers</w:t>
      </w:r>
    </w:p>
    <w:p w14:paraId="0F70C752" w14:textId="77777777" w:rsidR="00F22EBE" w:rsidRDefault="00000000" w:rsidP="007A73D0">
      <w:pPr>
        <w:spacing w:afterLines="100" w:after="240"/>
        <w:ind w:leftChars="50" w:left="110" w:rightChars="50" w:right="110" w:firstLineChars="200" w:firstLine="440"/>
      </w:pPr>
      <w:r>
        <w:t>The reaction terms passed to the transport solver combine the process-level rates above. For the solid phases,</w:t>
      </w:r>
    </w:p>
    <w:p w14:paraId="749B4D95" w14:textId="0C1C8014" w:rsidR="00F22EBE" w:rsidRDefault="00000000" w:rsidP="007A73D0">
      <w:pPr>
        <w:pStyle w:val="BodyText"/>
        <w:spacing w:afterLines="100" w:after="240"/>
        <w:ind w:leftChars="50" w:left="110" w:rightChars="50" w:right="110" w:firstLineChars="200" w:firstLine="44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lab</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sed</m:t>
                    </m:r>
                  </m:sub>
                </m:sSub>
                <m:r>
                  <m:rPr>
                    <m:sty m:val="p"/>
                  </m:rP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lab</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ref</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ref</m:t>
                    </m:r>
                  </m:sub>
                </m:sSub>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sed</m:t>
                    </m:r>
                  </m:sub>
                </m:sSub>
                <m:r>
                  <m:rPr>
                    <m:sty m:val="p"/>
                  </m:rP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ref</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FeOOH</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FeRed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FeOx</m:t>
                        </m:r>
                      </m:sub>
                    </m:sSub>
                  </m:e>
                </m:d>
                <m:f>
                  <m:fPr>
                    <m:ctrlPr>
                      <w:rPr>
                        <w:rFonts w:ascii="Cambria Math" w:hAnsi="Cambria Math"/>
                      </w:rPr>
                    </m:ctrlPr>
                  </m:fPr>
                  <m:num>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num>
                  <m:den>
                    <m:r>
                      <w:rPr>
                        <w:rFonts w:ascii="Cambria Math" w:hAnsi="Cambria Math"/>
                      </w:rPr>
                      <m:t>ρ</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ϕ</m:t>
                        </m:r>
                      </m:e>
                    </m:d>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carb</m:t>
                    </m:r>
                  </m:sub>
                  <m:sup>
                    <m:r>
                      <w:rPr>
                        <w:rFonts w:ascii="Cambria Math" w:hAnsi="Cambria Math"/>
                      </w:rPr>
                      <m:t>s</m:t>
                    </m:r>
                  </m:sup>
                </m:sSubSup>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27</m:t>
              </m:r>
            </m:e>
          </m:d>
        </m:oMath>
      </m:oMathPara>
    </w:p>
    <w:p w14:paraId="04FC4132" w14:textId="77777777" w:rsidR="00F22EBE" w:rsidRDefault="00000000" w:rsidP="007A73D0">
      <w:pPr>
        <w:spacing w:afterLines="100" w:after="240"/>
        <w:ind w:leftChars="50" w:left="110" w:rightChars="50" w:right="110" w:firstLineChars="200" w:firstLine="440"/>
      </w:pPr>
      <w:r>
        <w:t>For the dissolved phases,</w:t>
      </w:r>
    </w:p>
    <w:p w14:paraId="5C5DDC93"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resp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sec</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II</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FeRed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FeOx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FeS</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SRR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HSOx</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HS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SRR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FeS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HSOx</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CH4Ox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Bubble</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DIC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resp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FeRed</m:t>
                        </m:r>
                      </m:sub>
                    </m:sSub>
                  </m:num>
                  <m:den>
                    <m:r>
                      <w:rPr>
                        <w:rFonts w:ascii="Cambria Math" w:hAnsi="Cambria Math"/>
                      </w:rPr>
                      <m:t>4</m:t>
                    </m:r>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SRR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CH4Ox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carb</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ALK</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R</m:t>
                    </m:r>
                  </m:e>
                  <m:sub>
                    <m:r>
                      <w:rPr>
                        <w:rFonts w:ascii="Cambria Math" w:hAnsi="Cambria Math"/>
                      </w:rPr>
                      <m:t>FeRed</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SRR</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AOM</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FeS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HSOx</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carb</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carb</m:t>
                    </m:r>
                  </m:sub>
                </m:sSub>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28</m:t>
              </m:r>
            </m:e>
          </m:d>
        </m:oMath>
      </m:oMathPara>
    </w:p>
    <w:p w14:paraId="17E3E333" w14:textId="77777777" w:rsidR="00F22EBE" w:rsidRDefault="00000000" w:rsidP="007A73D0">
      <w:pPr>
        <w:spacing w:afterLines="100" w:after="240"/>
        <w:ind w:leftChars="50" w:left="110" w:rightChars="50" w:right="110" w:firstLineChars="200" w:firstLine="440"/>
        <w:rPr>
          <w:rFonts w:eastAsia="宋体"/>
          <w:lang w:eastAsia="zh-CN"/>
        </w:rPr>
      </w:pPr>
      <w:r>
        <w:t>These ledgers define how process rates enter each model state variable. They are written as local reaction terms and are combined with finite-volume transport and boundary exchange in the right-hand-side calculation.</w:t>
      </w:r>
    </w:p>
    <w:p w14:paraId="4EBD240A" w14:textId="77777777" w:rsidR="007A73D0" w:rsidRPr="007A73D0" w:rsidRDefault="007A73D0" w:rsidP="007A73D0">
      <w:pPr>
        <w:spacing w:afterLines="100" w:after="240"/>
        <w:ind w:leftChars="50" w:left="110" w:rightChars="50" w:right="110" w:firstLineChars="200" w:firstLine="440"/>
        <w:rPr>
          <w:rFonts w:eastAsia="宋体" w:hint="eastAsia"/>
          <w:lang w:eastAsia="zh-CN"/>
        </w:rPr>
      </w:pPr>
    </w:p>
    <w:p w14:paraId="1C8FCF4E" w14:textId="77777777" w:rsidR="00F22EBE" w:rsidRDefault="00000000" w:rsidP="007A73D0">
      <w:pPr>
        <w:pStyle w:val="Heading1"/>
        <w:spacing w:before="0" w:afterLines="100" w:after="240"/>
        <w:ind w:leftChars="50" w:left="110" w:rightChars="50" w:right="110" w:firstLineChars="200" w:firstLine="482"/>
      </w:pPr>
      <w:bookmarkStart w:id="7" w:name="X8a3222344e7f351cb24dc30f5227ddfb1047401"/>
      <w:bookmarkEnd w:id="6"/>
      <w:r>
        <w:rPr>
          <w:rFonts w:ascii="Times New Roman" w:eastAsia="Times New Roman" w:hAnsi="Times New Roman"/>
        </w:rPr>
        <w:t>6. Boundary forcing, initialization, and numerical implementation</w:t>
      </w:r>
    </w:p>
    <w:p w14:paraId="5410AA84" w14:textId="77777777" w:rsidR="00F22EBE" w:rsidRDefault="00000000" w:rsidP="007A73D0">
      <w:pPr>
        <w:spacing w:afterLines="100" w:after="240"/>
        <w:ind w:leftChars="50" w:left="110" w:rightChars="50" w:right="110" w:firstLineChars="200" w:firstLine="440"/>
      </w:pPr>
      <w:r>
        <w:t>Upper boundary concentrations are specified for dissolved species as</w:t>
      </w:r>
    </w:p>
    <w:p w14:paraId="1E6A7939"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top</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2</m:t>
                  </m:r>
                  <m:r>
                    <m:rPr>
                      <m:sty m:val="p"/>
                    </m:rPr>
                    <w:rPr>
                      <w:rFonts w:ascii="Cambria Math" w:hAnsi="Cambria Math"/>
                    </w:rPr>
                    <m:t>,</m:t>
                  </m:r>
                  <m:r>
                    <w:rPr>
                      <w:rFonts w:ascii="Cambria Math" w:hAnsi="Cambria Math"/>
                    </w:rPr>
                    <m:t>top</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top</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r>
                    <m:rPr>
                      <m:sty m:val="p"/>
                    </m:rPr>
                    <w:rPr>
                      <w:rFonts w:ascii="Cambria Math" w:hAnsi="Cambria Math"/>
                    </w:rPr>
                    <m:t>,</m:t>
                  </m:r>
                  <m:r>
                    <w:rPr>
                      <w:rFonts w:ascii="Cambria Math" w:hAnsi="Cambria Math"/>
                    </w:rPr>
                    <m:t>top</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top</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r>
                    <m:rPr>
                      <m:sty m:val="p"/>
                    </m:rPr>
                    <w:rPr>
                      <w:rFonts w:ascii="Cambria Math" w:hAnsi="Cambria Math"/>
                    </w:rPr>
                    <m:t>,</m:t>
                  </m:r>
                  <m:r>
                    <w:rPr>
                      <w:rFonts w:ascii="Cambria Math" w:hAnsi="Cambria Math"/>
                    </w:rPr>
                    <m:t>top</m:t>
                  </m:r>
                </m:sub>
              </m:sSub>
              <m:r>
                <m:rPr>
                  <m:sty m:val="p"/>
                </m:rPr>
                <w:rPr>
                  <w:rFonts w:ascii="Cambria Math" w:hAnsi="Cambria Math"/>
                </w:rPr>
                <m:t>,</m:t>
              </m:r>
              <m:r>
                <w:rPr>
                  <w:rFonts w:ascii="Cambria Math" w:hAnsi="Cambria Math"/>
                </w:rPr>
                <m:t>DI</m:t>
              </m:r>
              <m:sSub>
                <m:sSubPr>
                  <m:ctrlPr>
                    <w:rPr>
                      <w:rFonts w:ascii="Cambria Math" w:hAnsi="Cambria Math"/>
                    </w:rPr>
                  </m:ctrlPr>
                </m:sSubPr>
                <m:e>
                  <m:r>
                    <w:rPr>
                      <w:rFonts w:ascii="Cambria Math" w:hAnsi="Cambria Math"/>
                    </w:rPr>
                    <m:t>C</m:t>
                  </m:r>
                </m:e>
                <m:sub>
                  <m:r>
                    <w:rPr>
                      <w:rFonts w:ascii="Cambria Math" w:hAnsi="Cambria Math"/>
                    </w:rPr>
                    <m:t>top</m:t>
                  </m:r>
                </m:sub>
              </m:sSub>
              <m:r>
                <m:rPr>
                  <m:sty m:val="p"/>
                </m:rPr>
                <w:rPr>
                  <w:rFonts w:ascii="Cambria Math" w:hAnsi="Cambria Math"/>
                </w:rPr>
                <m:t>,</m:t>
              </m:r>
              <m:r>
                <w:rPr>
                  <w:rFonts w:ascii="Cambria Math" w:hAnsi="Cambria Math"/>
                </w:rPr>
                <m:t>AL</m:t>
              </m:r>
              <m:sSub>
                <m:sSubPr>
                  <m:ctrlPr>
                    <w:rPr>
                      <w:rFonts w:ascii="Cambria Math" w:hAnsi="Cambria Math"/>
                    </w:rPr>
                  </m:ctrlPr>
                </m:sSubPr>
                <m:e>
                  <m:r>
                    <w:rPr>
                      <w:rFonts w:ascii="Cambria Math" w:hAnsi="Cambria Math"/>
                    </w:rPr>
                    <m:t>K</m:t>
                  </m:r>
                </m:e>
                <m:sub>
                  <m:r>
                    <w:rPr>
                      <w:rFonts w:ascii="Cambria Math" w:hAnsi="Cambria Math"/>
                    </w:rPr>
                    <m:t>top</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top</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14:paraId="75B94F6E" w14:textId="77777777" w:rsidR="00F22EBE" w:rsidRDefault="00000000" w:rsidP="007A73D0">
      <w:pPr>
        <w:spacing w:afterLines="100" w:after="240"/>
        <w:ind w:leftChars="50" w:left="110" w:rightChars="50" w:right="110" w:firstLineChars="200" w:firstLine="440"/>
      </w:pPr>
      <w:r>
        <w:t>Solid depositional fluxes are specified for organic matter, FeOOH, and CaCO3. The FeOOH inventory flux is scaled as</w:t>
      </w:r>
    </w:p>
    <w:p w14:paraId="612912FD"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FeOOH</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Fe</m:t>
              </m:r>
              <m:r>
                <m:rPr>
                  <m:sty m:val="p"/>
                </m:rPr>
                <w:rPr>
                  <w:rFonts w:ascii="Cambria Math" w:hAnsi="Cambria Math"/>
                </w:rPr>
                <m:t>,</m:t>
              </m:r>
              <m:r>
                <w:rPr>
                  <w:rFonts w:ascii="Cambria Math" w:hAnsi="Cambria Math"/>
                </w:rPr>
                <m:t>inv</m:t>
              </m:r>
            </m:sub>
          </m:sSub>
          <m:d>
            <m:dPr>
              <m:ctrlPr>
                <w:rPr>
                  <w:rFonts w:ascii="Cambria Math" w:hAnsi="Cambria Math"/>
                </w:rPr>
              </m:ctrlPr>
            </m:dPr>
            <m:e>
              <m:r>
                <w:rPr>
                  <w:rFonts w:ascii="Cambria Math" w:hAnsi="Cambria Math"/>
                </w:rPr>
                <m:t>36.5</m:t>
              </m:r>
              <m:sSub>
                <m:sSubPr>
                  <m:ctrlPr>
                    <w:rPr>
                      <w:rFonts w:ascii="Cambria Math" w:hAnsi="Cambria Math"/>
                    </w:rPr>
                  </m:ctrlPr>
                </m:sSubPr>
                <m:e>
                  <m:r>
                    <w:rPr>
                      <w:rFonts w:ascii="Cambria Math" w:hAnsi="Cambria Math"/>
                    </w:rPr>
                    <m:t>F</m:t>
                  </m:r>
                </m:e>
                <m:sub>
                  <m:r>
                    <w:rPr>
                      <w:rFonts w:ascii="Cambria Math" w:hAnsi="Cambria Math"/>
                    </w:rPr>
                    <m:t>FeOx</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30</m:t>
              </m:r>
            </m:e>
          </m:d>
        </m:oMath>
      </m:oMathPara>
    </w:p>
    <w:p w14:paraId="7FCA60A1" w14:textId="77777777" w:rsidR="00F22EBE" w:rsidRDefault="00000000" w:rsidP="007A73D0">
      <w:pPr>
        <w:spacing w:afterLines="100" w:after="240"/>
        <w:ind w:leftChars="50" w:left="110" w:rightChars="50" w:right="110" w:firstLineChars="200" w:firstLine="440"/>
      </w:pPr>
      <w:r>
        <w:t xml:space="preserve">whereas the integrated Fe supply cap uses </w:t>
      </w:r>
      <m:oMath>
        <m:r>
          <w:rPr>
            <w:rFonts w:ascii="Cambria Math" w:hAnsi="Cambria Math"/>
          </w:rPr>
          <m:t>36.5</m:t>
        </m:r>
        <m:sSub>
          <m:sSubPr>
            <m:ctrlPr>
              <w:rPr>
                <w:rFonts w:ascii="Cambria Math" w:hAnsi="Cambria Math"/>
              </w:rPr>
            </m:ctrlPr>
          </m:sSubPr>
          <m:e>
            <m:r>
              <w:rPr>
                <w:rFonts w:ascii="Cambria Math" w:hAnsi="Cambria Math"/>
              </w:rPr>
              <m:t>F</m:t>
            </m:r>
          </m:e>
          <m:sub>
            <m:r>
              <w:rPr>
                <w:rFonts w:ascii="Cambria Math" w:hAnsi="Cambria Math"/>
              </w:rPr>
              <m:t>FeOx</m:t>
            </m:r>
          </m:sub>
        </m:sSub>
      </m:oMath>
      <w:r>
        <w:t xml:space="preserve"> without applying the inventory scaling factor. This distinction separates the current reactive FeOOH inventory from the external reactive Fe input flux.</w:t>
      </w:r>
    </w:p>
    <w:p w14:paraId="11E9EFD6" w14:textId="5C58D3D0" w:rsidR="00F22EBE" w:rsidRDefault="00000000" w:rsidP="007A73D0">
      <w:pPr>
        <w:pStyle w:val="BodyText"/>
        <w:spacing w:afterLines="100" w:after="240"/>
        <w:ind w:leftChars="50" w:left="110" w:rightChars="50" w:right="110" w:firstLineChars="200" w:firstLine="440"/>
        <w:rPr>
          <w:rFonts w:eastAsia="宋体"/>
          <w:lang w:eastAsia="zh-CN"/>
        </w:rPr>
      </w:pPr>
      <w:r>
        <w:t xml:space="preserve">The transient model starts from simple nonnegative initial profiles and is integrated under constant forcing until it approaches a quasi-steady profile. The method-of-lines formulation is implemented by packing all state variables and all depth-grid values into </w:t>
      </w:r>
      <m:oMath>
        <m:r>
          <m:rPr>
            <m:sty m:val="b"/>
          </m:rPr>
          <w:rPr>
            <w:rFonts w:ascii="Cambria Math" w:hAnsi="Cambria Math"/>
          </w:rPr>
          <m:t>Y</m:t>
        </m:r>
      </m:oMath>
      <w:r>
        <w:t xml:space="preserve">, evaluating </w:t>
      </w:r>
      <m:oMath>
        <m:r>
          <w:rPr>
            <w:rFonts w:ascii="Cambria Math" w:hAnsi="Cambria Math"/>
          </w:rPr>
          <m:t>d</m:t>
        </m:r>
        <m:r>
          <m:rPr>
            <m:sty m:val="b"/>
          </m:rPr>
          <w:rPr>
            <w:rFonts w:ascii="Cambria Math" w:hAnsi="Cambria Math"/>
          </w:rPr>
          <m:t>Y</m:t>
        </m:r>
        <m:r>
          <m:rPr>
            <m:sty m:val="p"/>
          </m:rPr>
          <w:rPr>
            <w:rFonts w:ascii="Cambria Math" w:hAnsi="Cambria Math"/>
          </w:rPr>
          <m:t>/</m:t>
        </m:r>
        <m:r>
          <w:rPr>
            <w:rFonts w:ascii="Cambria Math" w:hAnsi="Cambria Math"/>
          </w:rPr>
          <m:t>dt</m:t>
        </m:r>
      </m:oMath>
      <w:r>
        <w:t>, and integrating the resulting stiff ODE system with a nonnegative constraint. The spin-up duration is a numerical equilibration period rather than a literal environmental scenario duration.</w:t>
      </w:r>
    </w:p>
    <w:p w14:paraId="64F01C7E" w14:textId="77777777" w:rsidR="007A73D0" w:rsidRPr="007A73D0" w:rsidRDefault="007A73D0" w:rsidP="007A73D0">
      <w:pPr>
        <w:pStyle w:val="BodyText"/>
        <w:spacing w:afterLines="100" w:after="240"/>
        <w:ind w:leftChars="50" w:left="110" w:rightChars="50" w:right="110" w:firstLineChars="200" w:firstLine="440"/>
        <w:rPr>
          <w:rFonts w:eastAsia="宋体" w:hint="eastAsia"/>
          <w:lang w:eastAsia="zh-CN"/>
        </w:rPr>
      </w:pPr>
    </w:p>
    <w:p w14:paraId="56A29538" w14:textId="77777777" w:rsidR="00F22EBE" w:rsidRDefault="00000000" w:rsidP="007A73D0">
      <w:pPr>
        <w:pStyle w:val="Heading1"/>
        <w:spacing w:before="0" w:afterLines="100" w:after="240"/>
        <w:ind w:leftChars="50" w:left="110" w:rightChars="50" w:right="110" w:firstLineChars="200" w:firstLine="482"/>
      </w:pPr>
      <w:bookmarkStart w:id="8" w:name="Xaae48b1ca55a11b7b747c8dcd4d6636a301afec"/>
      <w:bookmarkEnd w:id="7"/>
      <w:r>
        <w:rPr>
          <w:rFonts w:ascii="Times New Roman" w:eastAsia="Times New Roman" w:hAnsi="Times New Roman"/>
        </w:rPr>
        <w:t>7. Baseline parameters and model development notes</w:t>
      </w:r>
    </w:p>
    <w:p w14:paraId="36437331" w14:textId="77777777" w:rsidR="00F22EBE" w:rsidRDefault="00000000" w:rsidP="007A73D0">
      <w:pPr>
        <w:spacing w:afterLines="100" w:after="240"/>
        <w:ind w:leftChars="50" w:left="110" w:rightChars="50" w:right="110" w:firstLineChars="200" w:firstLine="440"/>
      </w:pPr>
      <w:r>
        <w:t>The values below are current baseline or initial test values from the present model configuration. They should be treated as documentation of the current model setup rather than final calibrated parameters.</w:t>
      </w:r>
    </w:p>
    <w:p w14:paraId="54A6DD37" w14:textId="77777777" w:rsidR="00F22EBE" w:rsidRDefault="00000000" w:rsidP="007A73D0">
      <w:pPr>
        <w:spacing w:afterLines="100" w:after="240"/>
        <w:ind w:leftChars="50" w:left="110" w:rightChars="50" w:right="110" w:firstLineChars="200" w:firstLine="400"/>
      </w:pPr>
      <w:r>
        <w:rPr>
          <w:sz w:val="20"/>
        </w:rPr>
        <w:t>Table 2. Baseline physical and forcing parameters.</w:t>
      </w:r>
    </w:p>
    <w:p w14:paraId="1BB74317" w14:textId="77777777" w:rsidR="00F22EBE" w:rsidRDefault="00000000" w:rsidP="007A73D0">
      <w:pPr>
        <w:spacing w:afterLines="100" w:after="240"/>
        <w:ind w:leftChars="50" w:left="110" w:rightChars="50" w:right="110" w:firstLineChars="200" w:firstLine="400"/>
      </w:pPr>
      <w:r>
        <w:rPr>
          <w:sz w:val="20"/>
        </w:rPr>
        <w:t>Table 3. Baseline transport and reaction parameters.</w:t>
      </w:r>
    </w:p>
    <w:p w14:paraId="00B276E8" w14:textId="77777777" w:rsidR="00F22EBE" w:rsidRDefault="00000000" w:rsidP="007A73D0">
      <w:pPr>
        <w:pStyle w:val="Heading1"/>
        <w:spacing w:before="0" w:afterLines="100" w:after="240"/>
        <w:ind w:leftChars="50" w:left="110" w:rightChars="50" w:right="110" w:firstLineChars="200" w:firstLine="482"/>
      </w:pPr>
      <w:bookmarkStart w:id="9" w:name="planned-river-system-parameterization"/>
      <w:bookmarkEnd w:id="8"/>
      <w:r>
        <w:rPr>
          <w:rFonts w:ascii="Times New Roman" w:eastAsia="Times New Roman" w:hAnsi="Times New Roman"/>
        </w:rPr>
        <w:lastRenderedPageBreak/>
        <w:t>8. Planned river-system parameterization</w:t>
      </w:r>
    </w:p>
    <w:p w14:paraId="59885ED2" w14:textId="77777777" w:rsidR="00F22EBE" w:rsidRDefault="00000000" w:rsidP="007A73D0">
      <w:pPr>
        <w:spacing w:afterLines="100" w:after="240"/>
        <w:ind w:leftChars="50" w:left="110" w:rightChars="50" w:right="110" w:firstLineChars="200" w:firstLine="440"/>
      </w:pPr>
      <w:r>
        <w:t xml:space="preserve">A next model-development step is to link the one-dimensional sediment-column parameters to measurable riverbed and hydrologic properties. Relevant river-system descriptors include median grain size </w:t>
      </w:r>
      <m:oMath>
        <m:sSub>
          <m:sSubPr>
            <m:ctrlPr>
              <w:rPr>
                <w:rFonts w:ascii="Cambria Math" w:hAnsi="Cambria Math"/>
              </w:rPr>
            </m:ctrlPr>
          </m:sSubPr>
          <m:e>
            <m:r>
              <w:rPr>
                <w:rFonts w:ascii="Cambria Math" w:hAnsi="Cambria Math"/>
              </w:rPr>
              <m:t>D</m:t>
            </m:r>
          </m:e>
          <m:sub>
            <m:r>
              <w:rPr>
                <w:rFonts w:ascii="Cambria Math" w:hAnsi="Cambria Math"/>
              </w:rPr>
              <m:t>50</m:t>
            </m:r>
          </m:sub>
        </m:sSub>
      </m:oMath>
      <w:r>
        <w:t>, porosity, sediment organic matter content, sediment accumulation or exchange rate, hydraulic exchange with surface water or groundwater, and oxygen supply.</w:t>
      </w:r>
    </w:p>
    <w:p w14:paraId="5FAA9580" w14:textId="77777777" w:rsidR="00F22EBE" w:rsidRDefault="00000000" w:rsidP="007A73D0">
      <w:pPr>
        <w:pStyle w:val="BodyText"/>
        <w:spacing w:afterLines="100" w:after="240"/>
        <w:ind w:leftChars="50" w:left="110" w:rightChars="50" w:right="110" w:firstLineChars="200" w:firstLine="440"/>
      </w:pPr>
      <w:r>
        <w:t xml:space="preserve">In future river applications, porosity parameters </w:t>
      </w:r>
      <m:oMath>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e>
        </m:d>
      </m:oMath>
      <w:r>
        <w:t xml:space="preserve">, exchange coefficients </w:t>
      </w:r>
      <m:oMath>
        <m:r>
          <w:rPr>
            <w:rFonts w:ascii="Cambria Math" w:hAnsi="Cambria Math"/>
          </w:rPr>
          <m:t>α</m:t>
        </m:r>
        <m:d>
          <m:dPr>
            <m:ctrlPr>
              <w:rPr>
                <w:rFonts w:ascii="Cambria Math" w:hAnsi="Cambria Math"/>
              </w:rPr>
            </m:ctrlPr>
          </m:dPr>
          <m:e>
            <m:r>
              <w:rPr>
                <w:rFonts w:ascii="Cambria Math" w:hAnsi="Cambria Math"/>
              </w:rPr>
              <m:t>z</m:t>
            </m:r>
          </m:e>
        </m:d>
      </m:oMath>
      <w:r>
        <w:t xml:space="preserve">, and sediment burial or exchange velocity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may be parameterized as functions of sediment texture, permeability, water depth, bed shear stress, channel slope, and groundwater-surface water exchange. A conceptual parameterization is</w:t>
      </w:r>
    </w:p>
    <w:p w14:paraId="2E36346E"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α</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50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perm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star</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gw</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14:paraId="70862D22"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perm</m:t>
            </m:r>
          </m:sub>
        </m:sSub>
      </m:oMath>
      <w:r>
        <w:t xml:space="preserve"> is sediment permeability, </w:t>
      </w:r>
      <m:oMath>
        <m:sSub>
          <m:sSubPr>
            <m:ctrlPr>
              <w:rPr>
                <w:rFonts w:ascii="Cambria Math" w:hAnsi="Cambria Math"/>
              </w:rPr>
            </m:ctrlPr>
          </m:sSubPr>
          <m:e>
            <m:r>
              <w:rPr>
                <w:rFonts w:ascii="Cambria Math" w:hAnsi="Cambria Math"/>
              </w:rPr>
              <m:t>u</m:t>
            </m:r>
          </m:e>
          <m:sub>
            <m:r>
              <w:rPr>
                <w:rFonts w:ascii="Cambria Math" w:hAnsi="Cambria Math"/>
              </w:rPr>
              <m:t>star</m:t>
            </m:r>
          </m:sub>
        </m:sSub>
      </m:oMath>
      <w:r>
        <w:t xml:space="preserve"> is shear velocity, </w:t>
      </w:r>
      <m:oMath>
        <m:r>
          <w:rPr>
            <w:rFonts w:ascii="Cambria Math" w:hAnsi="Cambria Math"/>
          </w:rPr>
          <m:t>H</m:t>
        </m:r>
      </m:oMath>
      <w:r>
        <w:t xml:space="preserve"> is water depth, </w:t>
      </w:r>
      <m:oMath>
        <m:r>
          <w:rPr>
            <w:rFonts w:ascii="Cambria Math" w:hAnsi="Cambria Math"/>
          </w:rPr>
          <m:t>S</m:t>
        </m:r>
      </m:oMath>
      <w:r>
        <w:t xml:space="preserve"> is channel slope, and </w:t>
      </w:r>
      <m:oMath>
        <m:sSub>
          <m:sSubPr>
            <m:ctrlPr>
              <w:rPr>
                <w:rFonts w:ascii="Cambria Math" w:hAnsi="Cambria Math"/>
              </w:rPr>
            </m:ctrlPr>
          </m:sSubPr>
          <m:e>
            <m:r>
              <w:rPr>
                <w:rFonts w:ascii="Cambria Math" w:hAnsi="Cambria Math"/>
              </w:rPr>
              <m:t>q</m:t>
            </m:r>
          </m:e>
          <m:sub>
            <m:r>
              <w:rPr>
                <w:rFonts w:ascii="Cambria Math" w:hAnsi="Cambria Math"/>
              </w:rPr>
              <m:t>gw</m:t>
            </m:r>
          </m:sub>
        </m:sSub>
      </m:oMath>
      <w:r>
        <w:t xml:space="preserve"> is groundwater exchange flux. Similarly, sediment burial or exchange could be expressed as</w:t>
      </w:r>
    </w:p>
    <w:p w14:paraId="667E7500" w14:textId="77777777" w:rsidR="00F22EBE" w:rsidRDefault="00000000" w:rsidP="007A73D0">
      <w:pPr>
        <w:pStyle w:val="BodyText"/>
        <w:spacing w:afterLines="100" w:after="240"/>
        <w:ind w:leftChars="50" w:left="110" w:rightChars="50" w:right="110" w:firstLineChars="200" w:firstLine="44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50</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m:t>
              </m:r>
            </m:e>
          </m:d>
        </m:oMath>
      </m:oMathPara>
    </w:p>
    <w:p w14:paraId="1C5B6063" w14:textId="77777777" w:rsidR="00F22EBE" w:rsidRDefault="00000000" w:rsidP="007A73D0">
      <w:pPr>
        <w:spacing w:afterLines="100" w:after="240"/>
        <w:ind w:leftChars="50" w:left="110" w:rightChars="50" w:right="110" w:firstLineChars="200" w:firstLine="440"/>
      </w:pPr>
      <w:r>
        <w:t xml:space="preserve">where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is sediment supply,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is bed shear stress, and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is critical shear stress for erosion or resuspension. These parameterizations are placeholders for future regional river applications rather than finalized model equations.</w:t>
      </w:r>
      <w:bookmarkEnd w:id="9"/>
    </w:p>
    <w:sectPr w:rsidR="00F22EBE" w:rsidSect="00034616">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24D2" w14:textId="77777777" w:rsidR="00594B9C" w:rsidRDefault="00594B9C">
      <w:pPr>
        <w:spacing w:after="0" w:line="240" w:lineRule="auto"/>
      </w:pPr>
      <w:r>
        <w:separator/>
      </w:r>
    </w:p>
  </w:endnote>
  <w:endnote w:type="continuationSeparator" w:id="0">
    <w:p w14:paraId="552844AC" w14:textId="77777777" w:rsidR="00594B9C" w:rsidRDefault="00594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09F5" w14:textId="77777777" w:rsidR="00594B9C" w:rsidRDefault="00594B9C">
      <w:r>
        <w:separator/>
      </w:r>
    </w:p>
  </w:footnote>
  <w:footnote w:type="continuationSeparator" w:id="0">
    <w:p w14:paraId="0C755515" w14:textId="77777777" w:rsidR="00594B9C" w:rsidRDefault="00594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CA884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70130592">
    <w:abstractNumId w:val="8"/>
  </w:num>
  <w:num w:numId="2" w16cid:durableId="884293839">
    <w:abstractNumId w:val="6"/>
  </w:num>
  <w:num w:numId="3" w16cid:durableId="1637566287">
    <w:abstractNumId w:val="5"/>
  </w:num>
  <w:num w:numId="4" w16cid:durableId="97483074">
    <w:abstractNumId w:val="4"/>
  </w:num>
  <w:num w:numId="5" w16cid:durableId="96021303">
    <w:abstractNumId w:val="7"/>
  </w:num>
  <w:num w:numId="6" w16cid:durableId="2012756323">
    <w:abstractNumId w:val="3"/>
  </w:num>
  <w:num w:numId="7" w16cid:durableId="2121220158">
    <w:abstractNumId w:val="2"/>
  </w:num>
  <w:num w:numId="8" w16cid:durableId="887959204">
    <w:abstractNumId w:val="1"/>
  </w:num>
  <w:num w:numId="9" w16cid:durableId="1399093117">
    <w:abstractNumId w:val="0"/>
  </w:num>
  <w:num w:numId="10" w16cid:durableId="803814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ECC"/>
    <w:rsid w:val="00594B9C"/>
    <w:rsid w:val="00643F11"/>
    <w:rsid w:val="007A73D0"/>
    <w:rsid w:val="007E1055"/>
    <w:rsid w:val="00843FE6"/>
    <w:rsid w:val="00AA1D8D"/>
    <w:rsid w:val="00B47730"/>
    <w:rsid w:val="00BD177E"/>
    <w:rsid w:val="00C52A92"/>
    <w:rsid w:val="00CB0664"/>
    <w:rsid w:val="00D23112"/>
    <w:rsid w:val="00F22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13AC3"/>
  <w15:docId w15:val="{40429940-17F6-46DC-93D0-DED36843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ind w:left="317"/>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ind w:left="504"/>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1637</Words>
  <Characters>10691</Characters>
  <Application>Microsoft Office Word</Application>
  <DocSecurity>0</DocSecurity>
  <Lines>411</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Transient 1-D Sediment Reactive Transport Model</dc:title>
  <dc:creator/>
  <cp:keywords/>
  <dc:description/>
  <cp:lastModifiedBy>Alex Liu</cp:lastModifiedBy>
  <cp:revision>5</cp:revision>
  <dcterms:created xsi:type="dcterms:W3CDTF">2026-06-18T04:19:00Z</dcterms:created>
  <dcterms:modified xsi:type="dcterms:W3CDTF">2026-06-18T21:09:00Z</dcterms:modified>
</cp:coreProperties>
</file>