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Quotes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“For example, detailed information about the manufacturer’s software development, management, and quality control was unavailable.” [1] - Page 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“Apparently, very little software documentation was produced during development” [1] - Page 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“We know that the software for the Therac-25 was developed by a single person, over a period of several years.” [1] - Page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“The quality assurance manager was apparently unaware that some Therac-20 routines were also used in the Therac-25.” [1] - Page 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“In his deposition for one of the lawsuits, the quality assurance manager explained that testing was done in two parts. A “small amount” of software testing was done on a simulator, but most testing was done as a system. It appears that unit and software testing was minimal”[1] - Page 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[1]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1"/>
            <w:szCs w:val="31"/>
            <w:u w:val="single"/>
            <w:rtl w:val="0"/>
          </w:rPr>
          <w:t xml:space="preserve">http://ieeexplore.ieee.org/stamp/stamp.jsp?tp=&amp;arnumber=274940&amp;isnumber=6812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Citations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[1]</w:t>
        <w:tab/>
        <w:t xml:space="preserve">   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eeexplore.ieee.org.libproxy.utdallas.edu/stamp/stamp.jsp?tp=&amp;arnumber=274940&amp;isnumber=68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