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7D32"/>
          <w:sz w:val="36"/>
          <w:szCs w:val="36"/>
        </w:rPr>
        <w:t xml:space="preserve">CONDITIONS GÉNÉRALES DE VENTE</w:t>
      </w:r>
    </w:p>
    <w:p>
      <w:pPr>
        <w:spacing w:before="0" w:after="40"/>
        <w:jc w:val="center"/>
      </w:pPr>
      <w:r>
        <w:rPr>
          <w:rFonts w:ascii="Arial" w:cs="Arial" w:eastAsia="Arial" w:hAnsi="Arial"/>
          <w:b/>
          <w:bCs/>
          <w:color w:val="333333"/>
          <w:sz w:val="24"/>
          <w:szCs w:val="24"/>
        </w:rPr>
        <w:t xml:space="preserve">TERRASOCIAL — MANO VERDE INC SA</w:t>
      </w:r>
    </w:p>
    <w:p>
      <w:pPr>
        <w:spacing w:before="0" w:after="240"/>
        <w:jc w:val="center"/>
      </w:pPr>
      <w:r>
        <w:rPr>
          <w:rFonts w:ascii="Arial" w:cs="Arial" w:eastAsia="Arial" w:hAnsi="Arial"/>
          <w:i/>
          <w:iCs/>
          <w:color w:val="888888"/>
          <w:sz w:val="18"/>
          <w:szCs w:val="18"/>
        </w:rPr>
        <w:t xml:space="preserve">Dernière mise à jour : Février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before="0" w:after="0"/>
            </w:pPr>
            <w:r>
              <w:rPr>
                <w:rFonts w:ascii="Arial" w:cs="Arial" w:eastAsia="Arial" w:hAnsi="Arial"/>
                <w:b/>
                <w:bCs/>
                <w:color w:val="333333"/>
                <w:sz w:val="20"/>
                <w:szCs w:val="20"/>
              </w:rPr>
              <w:t xml:space="preserve">⚠️  AVERTISSEMENT IMPORTANT : </w:t>
            </w:r>
            <w:r>
              <w:rPr>
                <w:rFonts w:ascii="Arial" w:cs="Arial" w:eastAsia="Arial" w:hAnsi="Arial"/>
                <w:b w:val="false"/>
                <w:bCs w:val="false"/>
                <w:color w:val="333333"/>
                <w:sz w:val="20"/>
                <w:szCs w:val="20"/>
              </w:rPr>
              <w:t xml:space="preserve">TERRASOCIAL est un service de vente de terrains à paiement échelonné exploité par MANO VERDE INC SA. Ce service n'est NI une banque, NI une microfinance, NI une tontine, NI un établissement de crédit. Nous ne collectons pas d'épargne publique et nous n'accordons pas de crédit.</w:t>
            </w:r>
          </w:p>
        </w:tc>
      </w:tr>
    </w:tbl>
    <w:p>
      <w:pPr>
        <w:spacing w:before="12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1 — Objet</w:t>
      </w:r>
    </w:p>
    <w:p>
      <w:pPr>
        <w:spacing w:before="60" w:after="60"/>
      </w:pPr>
      <w:r>
        <w:rPr>
          <w:rFonts w:ascii="Arial" w:cs="Arial" w:eastAsia="Arial" w:hAnsi="Arial"/>
          <w:b w:val="false"/>
          <w:bCs w:val="false"/>
          <w:color w:val="333333"/>
          <w:sz w:val="20"/>
          <w:szCs w:val="20"/>
        </w:rPr>
        <w:t xml:space="preserve">Les présentes Conditions Générales de Vente (CGV) régissent les relations contractuelles entre MANO VERDE INC SA, société anonyme de droit camerounais, exploitant le service TERRASOCIAL, et toute personne physique ou morale souhaitant acquérir un terrain proposé à la vente.</w:t>
      </w:r>
    </w:p>
    <w:p>
      <w:pPr>
        <w:spacing w:before="60" w:after="60"/>
      </w:pPr>
      <w:r>
        <w:rPr>
          <w:rFonts w:ascii="Arial" w:cs="Arial" w:eastAsia="Arial" w:hAnsi="Arial"/>
          <w:b w:val="false"/>
          <w:bCs w:val="false"/>
          <w:color w:val="333333"/>
          <w:sz w:val="20"/>
          <w:szCs w:val="20"/>
        </w:rPr>
        <w:t xml:space="preserve">Le service TERRASOCIAL propose la vente de terrains à usage d'habitation situés dans la région du Centre (Cameroun), avec une facilité de paiement échelonné sur une durée de 12 à 36 mois.</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2 — Identité du Vendeur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Raison sociale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MANO VERDE INC 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Forme juridique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Société Anonyme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Siège social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Yaoundé, Cameroun — Quartier Odza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Téléphone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+237 651 98 28 78 / +237 696 87 58 95</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direction@manovende.com — infos@manoverde.com</w:t>
            </w:r>
          </w:p>
        </w:tc>
      </w:tr>
    </w:tbl>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3 — Nature Juridique de l'Opération</w:t>
      </w:r>
    </w:p>
    <w:p>
      <w:pPr>
        <w:spacing w:before="60" w:after="60"/>
      </w:pPr>
      <w:r>
        <w:rPr>
          <w:rFonts w:ascii="Arial" w:cs="Arial" w:eastAsia="Arial" w:hAnsi="Arial"/>
          <w:b w:val="false"/>
          <w:bCs w:val="false"/>
          <w:color w:val="333333"/>
          <w:sz w:val="20"/>
          <w:szCs w:val="20"/>
        </w:rPr>
        <w:t xml:space="preserve">L'opération proposée par TERRASOCIAL est une vente immobilière à paiement échelonné (crédit-vendeur). Elle ne constitue pas une opération de banque, de crédit ou de microfinance au sens du Règlement COBAC R-2021/01 et du Code Monétaire de la CEMAC.</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4 — Produits Proposés</w:t>
      </w:r>
    </w:p>
    <w:p>
      <w:pPr>
        <w:pStyle w:val="Heading3"/>
        <w:spacing w:before="200" w:after="60"/>
      </w:pPr>
      <w:r>
        <w:rPr>
          <w:rFonts w:ascii="Arial" w:cs="Arial" w:eastAsia="Arial" w:hAnsi="Arial"/>
          <w:b/>
          <w:bCs/>
          <w:color w:val="333333"/>
          <w:sz w:val="22"/>
          <w:szCs w:val="22"/>
        </w:rPr>
        <w:t xml:space="preserve">4.1 Description des lots</w:t>
      </w:r>
    </w:p>
    <w:p>
      <w:pPr>
        <w:spacing w:before="60" w:after="60"/>
      </w:pPr>
      <w:r>
        <w:rPr>
          <w:rFonts w:ascii="Arial" w:cs="Arial" w:eastAsia="Arial" w:hAnsi="Arial"/>
          <w:b w:val="false"/>
          <w:bCs w:val="false"/>
          <w:color w:val="333333"/>
          <w:sz w:val="20"/>
          <w:szCs w:val="20"/>
        </w:rPr>
        <w:t xml:space="preserve">Les terrains proposés à la vente sont situés dans la région du Centre, à proximité de Yaoundé. Chaque lot est identifié par un numéro, une superficie et une localisation précise.</w:t>
      </w:r>
    </w:p>
    <w:p>
      <w:pPr>
        <w:pStyle w:val="Heading3"/>
        <w:spacing w:before="200" w:after="60"/>
      </w:pPr>
      <w:r>
        <w:rPr>
          <w:rFonts w:ascii="Arial" w:cs="Arial" w:eastAsia="Arial" w:hAnsi="Arial"/>
          <w:b/>
          <w:bCs/>
          <w:color w:val="333333"/>
          <w:sz w:val="22"/>
          <w:szCs w:val="22"/>
        </w:rPr>
        <w:t xml:space="preserve">4.2 Garanties foncières</w:t>
      </w:r>
    </w:p>
    <w:p>
      <w:pPr>
        <w:spacing w:before="60" w:after="60"/>
      </w:pPr>
      <w:r>
        <w:rPr>
          <w:rFonts w:ascii="Arial" w:cs="Arial" w:eastAsia="Arial" w:hAnsi="Arial"/>
          <w:b w:val="false"/>
          <w:bCs w:val="false"/>
          <w:color w:val="333333"/>
          <w:sz w:val="20"/>
          <w:szCs w:val="20"/>
        </w:rPr>
        <w:t xml:space="preserve">Tous les terrains vendus par TERRASOCIAL sont issus de titres fonciers valides, régulièrement enregistrés auprès de la Conservation Foncière.</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5 — Prix et Modalités de Paiement</w:t>
      </w:r>
    </w:p>
    <w:p>
      <w:pPr>
        <w:pStyle w:val="Heading3"/>
        <w:spacing w:before="200" w:after="60"/>
      </w:pPr>
      <w:r>
        <w:rPr>
          <w:rFonts w:ascii="Arial" w:cs="Arial" w:eastAsia="Arial" w:hAnsi="Arial"/>
          <w:b/>
          <w:bCs/>
          <w:color w:val="333333"/>
          <w:sz w:val="22"/>
          <w:szCs w:val="22"/>
        </w:rPr>
        <w:t xml:space="preserve">5.1 Prix</w:t>
      </w:r>
    </w:p>
    <w:p>
      <w:pPr>
        <w:spacing w:before="60" w:after="60"/>
      </w:pPr>
      <w:r>
        <w:rPr>
          <w:rFonts w:ascii="Arial" w:cs="Arial" w:eastAsia="Arial" w:hAnsi="Arial"/>
          <w:b w:val="false"/>
          <w:bCs w:val="false"/>
          <w:color w:val="333333"/>
          <w:sz w:val="20"/>
          <w:szCs w:val="20"/>
        </w:rPr>
        <w:t xml:space="preserve">Les prix sont exprimés en Francs CFA (XAF) et comprennent : le prix du terrain, les frais de bornage et les frais de dossier. Les frais de notaire et de mutation sont à la charge de l'acquéreur.</w:t>
      </w:r>
    </w:p>
    <w:p>
      <w:pPr>
        <w:spacing w:before="30" w:after="0"/>
      </w:pPr>
      <w:r>
        <w:t xml:space="preserve"/>
      </w:r>
    </w:p>
    <w:p>
      <w:pPr>
        <w:pStyle w:val="Heading3"/>
        <w:spacing w:before="200" w:after="60"/>
      </w:pPr>
      <w:r>
        <w:rPr>
          <w:rFonts w:ascii="Arial" w:cs="Arial" w:eastAsia="Arial" w:hAnsi="Arial"/>
          <w:b/>
          <w:bCs/>
          <w:color w:val="333333"/>
          <w:sz w:val="22"/>
          <w:szCs w:val="22"/>
        </w:rPr>
        <w:t xml:space="preserve">5.2 Paiement échelonné</w:t>
      </w:r>
    </w:p>
    <w:p>
      <w:pPr>
        <w:spacing w:before="60" w:after="60"/>
      </w:pPr>
      <w:r>
        <w:rPr>
          <w:rFonts w:ascii="Arial" w:cs="Arial" w:eastAsia="Arial" w:hAnsi="Arial"/>
          <w:b w:val="false"/>
          <w:bCs w:val="false"/>
          <w:color w:val="333333"/>
          <w:sz w:val="20"/>
          <w:szCs w:val="20"/>
        </w:rPr>
        <w:t xml:space="preserve">Le paiement s'effectue selon le modèle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Frais d'ouverture de dossier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10 000 FCFA — Paiement unique et forfaitaire à la souscription (non déduits du prix du lot)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Solde du lot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Payable en mensualités sur 12, 24 ou 36 mois OU par versements journaliers (voir art. 5.2 bis)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Intérêts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Aucun intérêt. Le prix total reste identique quelle que soit la durée.</w:t>
            </w:r>
          </w:p>
        </w:tc>
      </w:tr>
    </w:tbl>
    <w:p>
      <w:pPr>
        <w:spacing w:before="60" w:after="60"/>
      </w:pPr>
      <w:r>
        <w:rPr>
          <w:rFonts w:ascii="Arial" w:cs="Arial" w:eastAsia="Arial" w:hAnsi="Arial"/>
          <w:b/>
          <w:bCs/>
          <w:color w:val="333333"/>
          <w:sz w:val="20"/>
          <w:szCs w:val="20"/>
        </w:rPr>
        <w:t xml:space="preserve">Il n'est pas exigé d'acompte en pourcentage du prix du lot.</w:t>
      </w:r>
    </w:p>
    <w:p>
      <w:pPr>
        <w:spacing w:before="30" w:after="0"/>
      </w:pPr>
      <w:r>
        <w:t xml:space="preserve"/>
      </w:r>
    </w:p>
    <w:p>
      <w:pPr>
        <w:pStyle w:val="Heading3"/>
        <w:spacing w:before="200" w:after="60"/>
      </w:pPr>
      <w:r>
        <w:rPr>
          <w:rFonts w:ascii="Arial" w:cs="Arial" w:eastAsia="Arial" w:hAnsi="Arial"/>
          <w:b/>
          <w:bCs/>
          <w:color w:val="333333"/>
          <w:sz w:val="22"/>
          <w:szCs w:val="22"/>
        </w:rPr>
        <w:t xml:space="preserve">5.2 bis — Versements Journaliers (Facilité de Micro-Paiement)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0" w:after="40"/>
            </w:pPr>
            <w:r>
              <w:rPr>
                <w:rFonts w:ascii="Arial" w:cs="Arial" w:eastAsia="Arial" w:hAnsi="Arial"/>
                <w:b/>
                <w:bCs/>
                <w:color w:val="333333"/>
                <w:sz w:val="20"/>
                <w:szCs w:val="20"/>
              </w:rPr>
              <w:t xml:space="preserve">🍺  « Le prix de 2 bières par jour pour votre terrain titré ! »</w:t>
            </w:r>
          </w:p>
          <w:p>
            <w:pPr>
              <w:spacing w:before="40" w:after="0"/>
            </w:pPr>
            <w:r>
              <w:rPr>
                <w:rFonts w:ascii="Arial" w:cs="Arial" w:eastAsia="Arial" w:hAnsi="Arial"/>
                <w:b/>
                <w:bCs/>
                <w:color w:val="333333"/>
                <w:sz w:val="20"/>
                <w:szCs w:val="20"/>
              </w:rPr>
              <w:t xml:space="preserve">2 bières ≈ 1 500 FCFA — le versement journalier minimum qui vous rapproche chaque jour de la propriété.</w:t>
            </w:r>
          </w:p>
        </w:tc>
      </w:tr>
    </w:tbl>
    <w:p>
      <w:pPr>
        <w:spacing w:before="30" w:after="0"/>
      </w:pPr>
      <w:r>
        <w:t xml:space="preserve"/>
      </w:r>
    </w:p>
    <w:p>
      <w:pPr>
        <w:spacing w:before="60" w:after="60"/>
      </w:pPr>
      <w:r>
        <w:rPr>
          <w:rFonts w:ascii="Arial" w:cs="Arial" w:eastAsia="Arial" w:hAnsi="Arial"/>
          <w:b w:val="false"/>
          <w:bCs w:val="false"/>
          <w:color w:val="333333"/>
          <w:sz w:val="20"/>
          <w:szCs w:val="20"/>
        </w:rPr>
        <w:t xml:space="preserve">En complément du calendrier mensuel, l'acquéreur peut s'acquitter de sa mensualité par versements journaliers selon les modalités ci-dessous :</w:t>
      </w:r>
    </w:p>
    <w:p>
      <w:pPr>
        <w:pStyle w:val="ListParagraph"/>
        <w:numPr>
          <w:ilvl w:val="0"/>
          <w:numId w:val="2"/>
        </w:numPr>
        <w:spacing w:before="40" w:after="40"/>
      </w:pPr>
      <w:r>
        <w:rPr>
          <w:rFonts w:ascii="Arial" w:cs="Arial" w:eastAsia="Arial" w:hAnsi="Arial"/>
          <w:b/>
          <w:bCs/>
          <w:color w:val="333333"/>
          <w:sz w:val="20"/>
          <w:szCs w:val="20"/>
        </w:rPr>
        <w:t xml:space="preserve">Montant minimum journalier : 1 500 FCFA par jour</w:t>
      </w:r>
    </w:p>
    <w:p>
      <w:pPr>
        <w:pStyle w:val="ListParagraph"/>
        <w:numPr>
          <w:ilvl w:val="0"/>
          <w:numId w:val="2"/>
        </w:numPr>
        <w:spacing w:before="40" w:after="40"/>
      </w:pPr>
      <w:r>
        <w:rPr>
          <w:rFonts w:ascii="Arial" w:cs="Arial" w:eastAsia="Arial" w:hAnsi="Arial"/>
          <w:b w:val="false"/>
          <w:bCs w:val="false"/>
          <w:color w:val="333333"/>
          <w:sz w:val="20"/>
          <w:szCs w:val="20"/>
        </w:rPr>
        <w:t xml:space="preserve">Paiements anticipés autorisés : plusieurs jours en avance en un seul virement (ex. : 3 000 FCFA = 2 jours, 10 500 FCFA = 7 jours)</w:t>
      </w:r>
    </w:p>
    <w:p>
      <w:pPr>
        <w:pStyle w:val="ListParagraph"/>
        <w:numPr>
          <w:ilvl w:val="0"/>
          <w:numId w:val="2"/>
        </w:numPr>
        <w:spacing w:before="40" w:after="40"/>
      </w:pPr>
      <w:r>
        <w:rPr>
          <w:rFonts w:ascii="Arial" w:cs="Arial" w:eastAsia="Arial" w:hAnsi="Arial"/>
          <w:b w:val="false"/>
          <w:bCs w:val="false"/>
          <w:color w:val="333333"/>
          <w:sz w:val="20"/>
          <w:szCs w:val="20"/>
        </w:rPr>
        <w:t xml:space="preserve">Cumul : plusieurs versements dans un même mois s'additionnent pour créditer la mensualité en cours</w:t>
      </w:r>
    </w:p>
    <w:p>
      <w:pPr>
        <w:pStyle w:val="ListParagraph"/>
        <w:numPr>
          <w:ilvl w:val="0"/>
          <w:numId w:val="2"/>
        </w:numPr>
        <w:spacing w:before="40" w:after="40"/>
      </w:pPr>
      <w:r>
        <w:rPr>
          <w:rFonts w:ascii="Arial" w:cs="Arial" w:eastAsia="Arial" w:hAnsi="Arial"/>
          <w:b w:val="false"/>
          <w:bCs w:val="false"/>
          <w:color w:val="333333"/>
          <w:sz w:val="20"/>
          <w:szCs w:val="20"/>
        </w:rPr>
        <w:t xml:space="preserve">Canal privilégié : Orange Money et MTN Mobile Money, 24h/24, 7j/7</w:t>
      </w:r>
    </w:p>
    <w:p>
      <w:pPr>
        <w:spacing w:before="30" w:after="0"/>
      </w:pPr>
      <w:r>
        <w:t xml:space="preserve"/>
      </w:r>
    </w:p>
    <w:p>
      <w:pPr>
        <w:spacing w:before="60" w:after="60"/>
      </w:pPr>
      <w:r>
        <w:rPr>
          <w:rFonts w:ascii="Arial" w:cs="Arial" w:eastAsia="Arial" w:hAnsi="Arial"/>
          <w:b w:val="false"/>
          <w:bCs w:val="false"/>
          <w:color w:val="333333"/>
          <w:sz w:val="20"/>
          <w:szCs w:val="20"/>
        </w:rPr>
        <w:t xml:space="preserve">Tableau indicatif des équivalences journalières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Lot</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Mensualité indicative</w:t>
            </w:r>
          </w:p>
        </w:tc>
        <w:tc>
          <w:tcPr>
            <w:tcW w:type="dxa" w:w="30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Versements à 1 500 Fr/j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500 m²</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21 000 FCFA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 versements/mois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Confort 750 m²</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25 000 FCFA</w:t>
            </w:r>
          </w:p>
        </w:tc>
        <w:tc>
          <w:tcPr>
            <w:tcW w:type="dxa" w:w="3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 versements/mois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Premium 1 000 m²</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28 000 FCFA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 versements/mois</w:t>
            </w:r>
          </w:p>
        </w:tc>
      </w:tr>
    </w:tbl>
    <w:p>
      <w:pPr>
        <w:spacing w:before="60" w:after="60"/>
      </w:pPr>
      <w:r>
        <w:rPr>
          <w:rFonts w:ascii="Arial" w:cs="Arial" w:eastAsia="Arial" w:hAnsi="Arial"/>
          <w:b w:val="false"/>
          <w:bCs w:val="false"/>
          <w:color w:val="333333"/>
          <w:sz w:val="20"/>
          <w:szCs w:val="20"/>
        </w:rPr>
        <w:t xml:space="preserve">Cette facilité ne modifie pas le prix total ni la durée du plan contractuel.</w:t>
      </w:r>
    </w:p>
    <w:p>
      <w:pPr>
        <w:spacing w:before="60" w:after="0"/>
      </w:pPr>
      <w:r>
        <w:t xml:space="preserve"/>
      </w:r>
    </w:p>
    <w:p>
      <w:pPr>
        <w:pStyle w:val="Heading3"/>
        <w:spacing w:before="200" w:after="60"/>
      </w:pPr>
      <w:r>
        <w:rPr>
          <w:rFonts w:ascii="Arial" w:cs="Arial" w:eastAsia="Arial" w:hAnsi="Arial"/>
          <w:b/>
          <w:bCs/>
          <w:color w:val="333333"/>
          <w:sz w:val="22"/>
          <w:szCs w:val="22"/>
        </w:rPr>
        <w:t xml:space="preserve">5.3 Moyens de paiement acceptés</w:t>
      </w:r>
    </w:p>
    <w:p>
      <w:pPr>
        <w:pStyle w:val="ListParagraph"/>
        <w:numPr>
          <w:ilvl w:val="0"/>
          <w:numId w:val="2"/>
        </w:numPr>
        <w:spacing w:before="40" w:after="40"/>
      </w:pPr>
      <w:r>
        <w:rPr>
          <w:rFonts w:ascii="Arial" w:cs="Arial" w:eastAsia="Arial" w:hAnsi="Arial"/>
          <w:b w:val="false"/>
          <w:bCs w:val="false"/>
          <w:color w:val="333333"/>
          <w:sz w:val="20"/>
          <w:szCs w:val="20"/>
        </w:rPr>
        <w:t xml:space="preserve">Orange Money</w:t>
      </w:r>
    </w:p>
    <w:p>
      <w:pPr>
        <w:pStyle w:val="ListParagraph"/>
        <w:numPr>
          <w:ilvl w:val="0"/>
          <w:numId w:val="2"/>
        </w:numPr>
        <w:spacing w:before="40" w:after="40"/>
      </w:pPr>
      <w:r>
        <w:rPr>
          <w:rFonts w:ascii="Arial" w:cs="Arial" w:eastAsia="Arial" w:hAnsi="Arial"/>
          <w:b w:val="false"/>
          <w:bCs w:val="false"/>
          <w:color w:val="333333"/>
          <w:sz w:val="20"/>
          <w:szCs w:val="20"/>
        </w:rPr>
        <w:t xml:space="preserve">MTN Mobile Money</w:t>
      </w:r>
    </w:p>
    <w:p>
      <w:pPr>
        <w:pStyle w:val="ListParagraph"/>
        <w:numPr>
          <w:ilvl w:val="0"/>
          <w:numId w:val="2"/>
        </w:numPr>
        <w:spacing w:before="40" w:after="40"/>
      </w:pPr>
      <w:r>
        <w:rPr>
          <w:rFonts w:ascii="Arial" w:cs="Arial" w:eastAsia="Arial" w:hAnsi="Arial"/>
          <w:b w:val="false"/>
          <w:bCs w:val="false"/>
          <w:color w:val="333333"/>
          <w:sz w:val="20"/>
          <w:szCs w:val="20"/>
        </w:rPr>
        <w:t xml:space="preserve">Virement bancaire</w:t>
      </w:r>
    </w:p>
    <w:p>
      <w:pPr>
        <w:pStyle w:val="ListParagraph"/>
        <w:numPr>
          <w:ilvl w:val="0"/>
          <w:numId w:val="2"/>
        </w:numPr>
        <w:spacing w:before="40" w:after="40"/>
      </w:pPr>
      <w:r>
        <w:rPr>
          <w:rFonts w:ascii="Arial" w:cs="Arial" w:eastAsia="Arial" w:hAnsi="Arial"/>
          <w:b w:val="false"/>
          <w:bCs w:val="false"/>
          <w:color w:val="333333"/>
          <w:sz w:val="20"/>
          <w:szCs w:val="20"/>
        </w:rPr>
        <w:t xml:space="preserve">Carte bancaire</w:t>
      </w:r>
    </w:p>
    <w:p>
      <w:pPr>
        <w:pStyle w:val="ListParagraph"/>
        <w:numPr>
          <w:ilvl w:val="0"/>
          <w:numId w:val="2"/>
        </w:numPr>
        <w:spacing w:before="40" w:after="40"/>
      </w:pPr>
      <w:r>
        <w:rPr>
          <w:rFonts w:ascii="Arial" w:cs="Arial" w:eastAsia="Arial" w:hAnsi="Arial"/>
          <w:b w:val="false"/>
          <w:bCs w:val="false"/>
          <w:color w:val="333333"/>
          <w:sz w:val="20"/>
          <w:szCs w:val="20"/>
        </w:rPr>
        <w:t xml:space="preserve">Chèque certifié</w:t>
      </w:r>
    </w:p>
    <w:p>
      <w:pPr>
        <w:pStyle w:val="ListParagraph"/>
        <w:numPr>
          <w:ilvl w:val="0"/>
          <w:numId w:val="2"/>
        </w:numPr>
        <w:spacing w:before="40" w:after="40"/>
      </w:pPr>
      <w:r>
        <w:rPr>
          <w:rFonts w:ascii="Arial" w:cs="Arial" w:eastAsia="Arial" w:hAnsi="Arial"/>
          <w:b w:val="false"/>
          <w:bCs w:val="false"/>
          <w:color w:val="333333"/>
          <w:sz w:val="20"/>
          <w:szCs w:val="20"/>
        </w:rPr>
        <w:t xml:space="preserve">Espèces (dans les limites légales)</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6 — Réservation et Contrat</w:t>
      </w:r>
    </w:p>
    <w:p>
      <w:pPr>
        <w:pStyle w:val="Heading3"/>
        <w:spacing w:before="200" w:after="60"/>
      </w:pPr>
      <w:r>
        <w:rPr>
          <w:rFonts w:ascii="Arial" w:cs="Arial" w:eastAsia="Arial" w:hAnsi="Arial"/>
          <w:b/>
          <w:bCs/>
          <w:color w:val="333333"/>
          <w:sz w:val="22"/>
          <w:szCs w:val="22"/>
        </w:rPr>
        <w:t xml:space="preserve">6.1 Réservation</w:t>
      </w:r>
    </w:p>
    <w:p>
      <w:pPr>
        <w:spacing w:before="60" w:after="60"/>
      </w:pPr>
      <w:r>
        <w:rPr>
          <w:rFonts w:ascii="Arial" w:cs="Arial" w:eastAsia="Arial" w:hAnsi="Arial"/>
          <w:b w:val="false"/>
          <w:bCs w:val="false"/>
          <w:color w:val="333333"/>
          <w:sz w:val="20"/>
          <w:szCs w:val="20"/>
        </w:rPr>
        <w:t xml:space="preserve">La réservation d'un lot est effective après versement des frais d'ouverture de dossier de 10 000 FCFA (forfait unique) et signature du contrat de réservation. Le lot est alors bloqué au nom du client pendant toute la durée du paiement. Aucun acompte supplémentaire en pourcentage du prix du lot n'est exigé.</w:t>
      </w:r>
    </w:p>
    <w:p>
      <w:pPr>
        <w:pStyle w:val="Heading3"/>
        <w:spacing w:before="200" w:after="60"/>
      </w:pPr>
      <w:r>
        <w:rPr>
          <w:rFonts w:ascii="Arial" w:cs="Arial" w:eastAsia="Arial" w:hAnsi="Arial"/>
          <w:b/>
          <w:bCs/>
          <w:color w:val="333333"/>
          <w:sz w:val="22"/>
          <w:szCs w:val="22"/>
        </w:rPr>
        <w:t xml:space="preserve">6.2 Droit de rétractation</w:t>
      </w:r>
    </w:p>
    <w:p>
      <w:pPr>
        <w:spacing w:before="60" w:after="60"/>
      </w:pPr>
      <w:r>
        <w:rPr>
          <w:rFonts w:ascii="Arial" w:cs="Arial" w:eastAsia="Arial" w:hAnsi="Arial"/>
          <w:b w:val="false"/>
          <w:bCs w:val="false"/>
          <w:color w:val="333333"/>
          <w:sz w:val="20"/>
          <w:szCs w:val="20"/>
        </w:rPr>
        <w:t xml:space="preserve">Conformément à la législation camerounaise, l'acquéreur dispose d'un délai de 7 jours calendaires à compter de la signature du contrat pour exercer son droit de rétractation, sans pénalité. Les frais d'ouverture de dossier (10 000 FCFA) seront intégralement remboursés dans un délai de 14 jours.</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7 — Conditions Suspensives et Résolutoires</w:t>
      </w:r>
    </w:p>
    <w:p>
      <w:pPr>
        <w:pStyle w:val="Heading3"/>
        <w:spacing w:before="200" w:after="60"/>
      </w:pPr>
      <w:r>
        <w:rPr>
          <w:rFonts w:ascii="Arial" w:cs="Arial" w:eastAsia="Arial" w:hAnsi="Arial"/>
          <w:b/>
          <w:bCs/>
          <w:color w:val="333333"/>
          <w:sz w:val="22"/>
          <w:szCs w:val="22"/>
        </w:rPr>
        <w:t xml:space="preserve">7.1 Clause résolutoire</w:t>
      </w:r>
    </w:p>
    <w:p>
      <w:pPr>
        <w:spacing w:before="60" w:after="60"/>
      </w:pPr>
      <w:r>
        <w:rPr>
          <w:rFonts w:ascii="Arial" w:cs="Arial" w:eastAsia="Arial" w:hAnsi="Arial"/>
          <w:b w:val="false"/>
          <w:bCs w:val="false"/>
          <w:color w:val="333333"/>
          <w:sz w:val="20"/>
          <w:szCs w:val="20"/>
        </w:rPr>
        <w:t xml:space="preserve">En cas de défaut de paiement de deux mensualités consécutives (ou l'équivalent en versements journaliers), le vendeur pourra, après mise en demeure restée sans effet pendant 15 jours, prononcer la résolution de plein droit de la vente.</w:t>
      </w:r>
    </w:p>
    <w:p>
      <w:pPr>
        <w:pStyle w:val="Heading3"/>
        <w:spacing w:before="200" w:after="60"/>
      </w:pPr>
      <w:r>
        <w:rPr>
          <w:rFonts w:ascii="Arial" w:cs="Arial" w:eastAsia="Arial" w:hAnsi="Arial"/>
          <w:b/>
          <w:bCs/>
          <w:color w:val="333333"/>
          <w:sz w:val="22"/>
          <w:szCs w:val="22"/>
        </w:rPr>
        <w:t xml:space="preserve">7.2 Conséquences de la résolution</w:t>
      </w:r>
    </w:p>
    <w:p>
      <w:pPr>
        <w:spacing w:before="60" w:after="60"/>
      </w:pPr>
      <w:r>
        <w:rPr>
          <w:rFonts w:ascii="Arial" w:cs="Arial" w:eastAsia="Arial" w:hAnsi="Arial"/>
          <w:b w:val="false"/>
          <w:bCs w:val="false"/>
          <w:color w:val="333333"/>
          <w:sz w:val="20"/>
          <w:szCs w:val="20"/>
        </w:rPr>
        <w:t xml:space="preserve">En cas de résolution pour défaut de paiement, les sommes versées seront remboursées au client, déduction faite d'une indemnité forfaitaire de 15% du prix total, correspondant aux frais de gestion et de remise en vente.</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8 — Jouissance Anticipée</w:t>
      </w:r>
    </w:p>
    <w:p>
      <w:pPr>
        <w:spacing w:before="60" w:after="60"/>
      </w:pPr>
      <w:r>
        <w:rPr>
          <w:rFonts w:ascii="Arial" w:cs="Arial" w:eastAsia="Arial" w:hAnsi="Arial"/>
          <w:b w:val="false"/>
          <w:bCs w:val="false"/>
          <w:color w:val="333333"/>
          <w:sz w:val="20"/>
          <w:szCs w:val="20"/>
        </w:rPr>
        <w:t xml:space="preserve">L'acquéreur peut bénéficier d'une mise en jouissance anticipée du terrain après paiement d'au moins 50% du prix total, matérialisée par un Procès-Verbal de mise en jouissance. Cette jouissance ne confère pas la propriété, acquise uniquement après paiement intégral.</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9 — Transfert de Propriété</w:t>
      </w:r>
    </w:p>
    <w:p>
      <w:pPr>
        <w:spacing w:before="60" w:after="60"/>
      </w:pPr>
      <w:r>
        <w:rPr>
          <w:rFonts w:ascii="Arial" w:cs="Arial" w:eastAsia="Arial" w:hAnsi="Arial"/>
          <w:b w:val="false"/>
          <w:bCs w:val="false"/>
          <w:color w:val="333333"/>
          <w:sz w:val="20"/>
          <w:szCs w:val="20"/>
        </w:rPr>
        <w:t xml:space="preserve">Le transfert de propriété intervient après :</w:t>
      </w:r>
    </w:p>
    <w:p>
      <w:pPr>
        <w:pStyle w:val="ListParagraph"/>
        <w:numPr>
          <w:ilvl w:val="0"/>
          <w:numId w:val="2"/>
        </w:numPr>
        <w:spacing w:before="40" w:after="40"/>
      </w:pPr>
      <w:r>
        <w:rPr>
          <w:rFonts w:ascii="Arial" w:cs="Arial" w:eastAsia="Arial" w:hAnsi="Arial"/>
          <w:b w:val="false"/>
          <w:bCs w:val="false"/>
          <w:color w:val="333333"/>
          <w:sz w:val="20"/>
          <w:szCs w:val="20"/>
        </w:rPr>
        <w:t xml:space="preserve">Paiement intégral du prix de vente</w:t>
      </w:r>
    </w:p>
    <w:p>
      <w:pPr>
        <w:pStyle w:val="ListParagraph"/>
        <w:numPr>
          <w:ilvl w:val="0"/>
          <w:numId w:val="2"/>
        </w:numPr>
        <w:spacing w:before="40" w:after="40"/>
      </w:pPr>
      <w:r>
        <w:rPr>
          <w:rFonts w:ascii="Arial" w:cs="Arial" w:eastAsia="Arial" w:hAnsi="Arial"/>
          <w:b w:val="false"/>
          <w:bCs w:val="false"/>
          <w:color w:val="333333"/>
          <w:sz w:val="20"/>
          <w:szCs w:val="20"/>
        </w:rPr>
        <w:t xml:space="preserve">Signature de l'acte de cession devant notaire</w:t>
      </w:r>
    </w:p>
    <w:p>
      <w:pPr>
        <w:pStyle w:val="ListParagraph"/>
        <w:numPr>
          <w:ilvl w:val="0"/>
          <w:numId w:val="2"/>
        </w:numPr>
        <w:spacing w:before="40" w:after="40"/>
      </w:pPr>
      <w:r>
        <w:rPr>
          <w:rFonts w:ascii="Arial" w:cs="Arial" w:eastAsia="Arial" w:hAnsi="Arial"/>
          <w:b w:val="false"/>
          <w:bCs w:val="false"/>
          <w:color w:val="333333"/>
          <w:sz w:val="20"/>
          <w:szCs w:val="20"/>
        </w:rPr>
        <w:t xml:space="preserve">Accomplissement des formalités de mutation foncière</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10 — Responsabilité</w:t>
      </w:r>
    </w:p>
    <w:p>
      <w:pPr>
        <w:spacing w:before="60" w:after="60"/>
      </w:pPr>
      <w:r>
        <w:rPr>
          <w:rFonts w:ascii="Arial" w:cs="Arial" w:eastAsia="Arial" w:hAnsi="Arial"/>
          <w:b w:val="false"/>
          <w:bCs w:val="false"/>
          <w:color w:val="333333"/>
          <w:sz w:val="20"/>
          <w:szCs w:val="20"/>
        </w:rPr>
        <w:t xml:space="preserve">MANO VERDE INC SA s'engage à fournir des terrains libres de tout litige et régulièrement immatriculés.</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11 — Protection des Données Personnelles</w:t>
      </w:r>
    </w:p>
    <w:p>
      <w:pPr>
        <w:spacing w:before="60" w:after="60"/>
      </w:pPr>
      <w:r>
        <w:rPr>
          <w:rFonts w:ascii="Arial" w:cs="Arial" w:eastAsia="Arial" w:hAnsi="Arial"/>
          <w:b w:val="false"/>
          <w:bCs w:val="false"/>
          <w:color w:val="333333"/>
          <w:sz w:val="20"/>
          <w:szCs w:val="20"/>
        </w:rPr>
        <w:t xml:space="preserve">Les données personnelles collectées sont traitées conformément à notre Politique de Confidentialité et à la réglementation en vigueur.</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12 — Litiges</w:t>
      </w:r>
    </w:p>
    <w:p>
      <w:pPr>
        <w:spacing w:before="60" w:after="60"/>
      </w:pPr>
      <w:r>
        <w:rPr>
          <w:rFonts w:ascii="Arial" w:cs="Arial" w:eastAsia="Arial" w:hAnsi="Arial"/>
          <w:b w:val="false"/>
          <w:bCs w:val="false"/>
          <w:color w:val="333333"/>
          <w:sz w:val="20"/>
          <w:szCs w:val="20"/>
        </w:rPr>
        <w:t xml:space="preserve">Les présentes CGV sont régies par le droit camerounais. En cas de litige, les parties s'engagent à rechercher une solution amiable. À défaut, les tribunaux de Yaoundé seront seuls compétents.</w:t>
      </w:r>
    </w:p>
    <w:p>
      <w:pPr>
        <w:spacing w:before="60" w:after="0"/>
      </w:pPr>
      <w:r>
        <w:t xml:space="preserve"/>
      </w:r>
    </w:p>
    <w:p>
      <w:pPr>
        <w:pStyle w:val="Heading2"/>
        <w:pBdr>
          <w:bottom w:val="single" w:color="2E7D32" w:sz="4" w:space="4"/>
        </w:pBdr>
        <w:spacing w:before="280" w:after="80"/>
      </w:pPr>
      <w:r>
        <w:rPr>
          <w:rFonts w:ascii="Arial" w:cs="Arial" w:eastAsia="Arial" w:hAnsi="Arial"/>
          <w:b/>
          <w:bCs/>
          <w:color w:val="2E7D32"/>
          <w:sz w:val="24"/>
          <w:szCs w:val="24"/>
        </w:rPr>
        <w:t xml:space="preserve">Article 13 — Modification des CGV</w:t>
      </w:r>
    </w:p>
    <w:p>
      <w:pPr>
        <w:spacing w:before="60" w:after="60"/>
      </w:pPr>
      <w:r>
        <w:rPr>
          <w:rFonts w:ascii="Arial" w:cs="Arial" w:eastAsia="Arial" w:hAnsi="Arial"/>
          <w:b w:val="false"/>
          <w:bCs w:val="false"/>
          <w:color w:val="333333"/>
          <w:sz w:val="20"/>
          <w:szCs w:val="20"/>
        </w:rPr>
        <w:t xml:space="preserve">Les présentes CGV peuvent être modifiées à tout moment. Les conditions applicables sont celles en vigueur au moment de la signature du contrat de réservation.</w:t>
      </w:r>
    </w:p>
    <w:sectPr>
      <w:headerReference w:type="default" r:id="rId6"/>
      <w:footerReference w:type="default" r:id="rId7"/>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888888"/>
        <w:sz w:val="16"/>
        <w:szCs w:val="16"/>
      </w:rPr>
      <w:t xml:space="preserve">MANO VERDE INC SA — direction@manovende.com — +237 651 98 28 78</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pBdr>
      <w:spacing w:after="120"/>
    </w:pPr>
    <w:r>
      <w:rPr>
        <w:rFonts w:ascii="Arial" w:cs="Arial" w:eastAsia="Arial" w:hAnsi="Arial"/>
        <w:b/>
        <w:bCs/>
        <w:color w:val="2E7D32"/>
        <w:sz w:val="22"/>
        <w:szCs w:val="22"/>
      </w:rPr>
      <w:t xml:space="preserve">TERRASOCIAL </w:t>
    </w:r>
    <w:r>
      <w:rPr>
        <w:rFonts w:ascii="Arial" w:cs="Arial" w:eastAsia="Arial" w:hAnsi="Arial"/>
        <w:color w:val="333333"/>
        <w:sz w:val="22"/>
        <w:szCs w:val="22"/>
      </w:rPr>
      <w:t xml:space="preserve">— MANO VERDE INC SA</w:t>
    </w:r>
    <w:r>
      <w:rPr>
        <w:rFonts w:ascii="Arial" w:cs="Arial" w:eastAsia="Arial" w:hAnsi="Arial"/>
        <w:i/>
        <w:iCs/>
        <w:color w:val="888888"/>
        <w:sz w:val="18"/>
        <w:szCs w:val="18"/>
      </w:rPr>
      <w:t xml:space="preserve">  |  Conditions Générales de Vente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D32"/>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D32"/>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2026-02-23T15:15:22.015Z</dcterms:created>
  <dcterms:modified xsi:type="dcterms:W3CDTF">2026-02-23T15:15:22.015Z</dcterms:modified>
</cp:coreProperties>
</file>

<file path=docProps/custom.xml><?xml version="1.0" encoding="utf-8"?>
<Properties xmlns="http://schemas.openxmlformats.org/officeDocument/2006/custom-properties" xmlns:vt="http://schemas.openxmlformats.org/officeDocument/2006/docPropsVTypes"/>
</file>