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line="240"/>
        <w:jc w:val="center"/>
      </w:pPr>
      <w:r>
        <w:t xml:space="preserve">MANO VERDE INC SA</w:t>
      </w:r>
    </w:p>
    <w:p>
      <w:pPr>
        <w:spacing w:line="200"/>
        <w:jc w:val="center"/>
      </w:pPr>
      <w:r>
        <w:t xml:space="preserve">Société Anonyme de droit OHADA</w:t>
      </w:r>
    </w:p>
    <w:p>
      <w:pPr>
        <w:spacing w:line="240"/>
        <w:jc w:val="center"/>
      </w:pPr>
      <w:r>
        <w:t xml:space="preserve">République du Cameroun</w:t>
      </w:r>
    </w:p>
    <w:p>
      <w:pPr>
        <w:spacing w:line="240"/>
      </w:pPr>
    </w:p>
    <w:p>
      <w:pPr>
        <w:spacing w:line="240"/>
      </w:pPr>
    </w:p>
    <w:p>
      <w:pPr>
        <w:spacing w:line="200"/>
        <w:jc w:val="center"/>
      </w:pPr>
      <w:r>
        <w:t xml:space="preserve">FOUR DOMESTIQUE À PYROLYSE / BIOMASSE</w:t>
      </w:r>
    </w:p>
    <w:p>
      <w:pPr>
        <w:spacing w:line="240"/>
        <w:jc w:val="center"/>
      </w:pPr>
      <w:r>
        <w:t xml:space="preserve">Description du Produit et Concept d'Économie Circulaire</w:t>
      </w:r>
    </w:p>
    <w:p>
      <w:pPr>
        <w:spacing w:line="240"/>
      </w:pPr>
    </w:p>
    <w:p>
      <w:pPr>
        <w:spacing w:line="240"/>
      </w:pPr>
    </w:p>
    <w:p>
      <w:pPr>
        <w:spacing w:line="240"/>
      </w:pPr>
    </w:p>
    <w:p>
      <w:pPr>
        <w:spacing w:line="240"/>
        <w:jc w:val="center"/>
      </w:pPr>
      <w:r>
        <w:t xml:space="preserve">Document de Présentation Institutionnel</w:t>
      </w:r>
    </w:p>
    <w:r>
      <w:br w:type="page"/>
    </w:r>
    <w:p>
      <w:pPr>
        <w:pStyle w:val="Heading1"/>
        <w:pStyle w:val="Heading1"/>
        <w:spacing w:before="240" w:after="240"/>
        <w:jc w:val="center"/>
      </w:pPr>
      <w:r>
        <w:t xml:space="preserve">TABLE DES MATIÈRES</w:t>
      </w:r>
    </w:p>
    <w:p>
      <w:pPr>
        <w:spacing w:line="200"/>
      </w:pPr>
      <w:r>
        <w:t xml:space="preserve">1. Introduction et Contexte</w:t>
      </w:r>
    </w:p>
    <w:p>
      <w:pPr>
        <w:spacing w:line="200"/>
      </w:pPr>
      <w:r>
        <w:t xml:space="preserve">2. Principe de Fonctionnement du Four à Pyrolyse / Biomasse</w:t>
      </w:r>
    </w:p>
    <w:p>
      <w:pPr>
        <w:spacing w:line="200"/>
      </w:pPr>
      <w:r>
        <w:t xml:space="preserve">3. Versions Matérielles</w:t>
      </w:r>
    </w:p>
    <w:p>
      <w:pPr>
        <w:spacing w:line="200"/>
      </w:pPr>
      <w:r>
        <w:t xml:space="preserve">4. Performances Cibles</w:t>
      </w:r>
    </w:p>
    <w:p>
      <w:pPr>
        <w:spacing w:line="200"/>
      </w:pPr>
      <w:r>
        <w:t xml:space="preserve">5. Intégration dans la Filière d'Économie Circulaire</w:t>
      </w:r>
    </w:p>
    <w:p>
      <w:pPr>
        <w:spacing w:line="200"/>
      </w:pPr>
      <w:r>
        <w:t xml:space="preserve">6. Alignement Stratégique</w:t>
      </w:r>
    </w:p>
    <w:r>
      <w:br w:type="page"/>
    </w:r>
    <w:p>
      <w:pPr>
        <w:pStyle w:val="Heading1"/>
        <w:pStyle w:val="Heading1"/>
        <w:spacing w:before="240" w:after="240"/>
      </w:pPr>
      <w:r>
        <w:t xml:space="preserve">1. INTRODUCTION ET CONTEXTE</w:t>
      </w:r>
    </w:p>
    <w:p>
      <w:pPr>
        <w:pStyle w:val="Heading2"/>
        <w:pStyle w:val="Heading2"/>
        <w:spacing w:before="200" w:after="120"/>
      </w:pPr>
      <w:r>
        <w:t xml:space="preserve">1.1 Crise Énergétique au Cameroun</w:t>
      </w:r>
    </w:p>
    <w:p>
      <w:pPr>
        <w:spacing w:line="240" w:after="120"/>
        <w:jc w:val="both"/>
      </w:pPr>
      <w:r>
        <w:t xml:space="preserve">Plus de 70 % des ménages camerounais dépendent actuellement du bois de chauffage et du charbon de bois pour répondre à leurs besoins énergétiques, notamment pour la cuisson des aliments et le chauffage. Cette dépendance massive aux combustibles biomasse traditionnels génère des défis économiques, environnementaux et sanitaires considérables. L'absence d'accès universel à l'énergie électrique, conjuguée aux coûts élevés des solutions énergétiques modernes, perpétue cette situation critique. Le secteur informel des producteurs de charbon de bois représente une source majeure de revenus pour les ménages ruraux, mais contribue de façon démesurée à la dégradation environnementale sans créer de valeur ajoutée durable.</w:t>
      </w:r>
    </w:p>
    <w:p>
      <w:pPr>
        <w:pStyle w:val="Heading2"/>
        <w:pStyle w:val="Heading2"/>
        <w:spacing w:before="200" w:after="120"/>
      </w:pPr>
      <w:r>
        <w:t xml:space="preserve">1.2 Dégradation Environnementale et Déforestation</w:t>
      </w:r>
    </w:p>
    <w:p>
      <w:pPr>
        <w:spacing w:line="240" w:after="120"/>
        <w:jc w:val="both"/>
      </w:pPr>
      <w:r>
        <w:t xml:space="preserve">La dépendance vis-à-vis du bois et du charbon de bois entraîne une déforestation accélérée du Cameroun. Les forêts du pays, autrefois parmi les plus riches du monde en biodiversité, reculent à un rythme alarmant. Cette dégradation affecte directement :</w:t>
      </w:r>
    </w:p>
    <w:p>
      <w:pPr>
        <w:pStyle w:val="ListParagraph"/>
        <w:numPr>
          <w:ilvl w:val="0"/>
          <w:numId w:val="1"/>
        </w:numPr>
        <w:spacing w:line="200"/>
      </w:pPr>
      <w:r>
        <w:t xml:space="preserve">La perte de la couverture forestière et des écosystèmes essentiels</w:t>
      </w:r>
    </w:p>
    <w:p>
      <w:pPr>
        <w:pStyle w:val="ListParagraph"/>
        <w:numPr>
          <w:ilvl w:val="0"/>
          <w:numId w:val="1"/>
        </w:numPr>
        <w:spacing w:line="200"/>
      </w:pPr>
      <w:r>
        <w:t xml:space="preserve">L'émission de gaz à effet de serre lors de la production de charbon de bois</w:t>
      </w:r>
    </w:p>
    <w:p>
      <w:pPr>
        <w:pStyle w:val="ListParagraph"/>
        <w:numPr>
          <w:ilvl w:val="0"/>
          <w:numId w:val="1"/>
        </w:numPr>
        <w:spacing w:line="200"/>
      </w:pPr>
      <w:r>
        <w:t xml:space="preserve">La fragilisation des sols et augmentation de l'érosion</w:t>
      </w:r>
    </w:p>
    <w:p>
      <w:pPr>
        <w:pStyle w:val="ListParagraph"/>
        <w:numPr>
          <w:ilvl w:val="0"/>
          <w:numId w:val="1"/>
        </w:numPr>
        <w:spacing w:line="200" w:after="120"/>
      </w:pPr>
      <w:r>
        <w:t xml:space="preserve">La réduction de la capacité d'absorption de carbone par les écosystèmes</w:t>
      </w:r>
    </w:p>
    <w:p>
      <w:pPr>
        <w:pStyle w:val="Heading2"/>
        <w:pStyle w:val="Heading2"/>
        <w:spacing w:before="200" w:after="120"/>
      </w:pPr>
      <w:r>
        <w:t xml:space="preserve">1.3 Impacts Sanitaires de la Pollution de l'Air Intérieur</w:t>
      </w:r>
    </w:p>
    <w:p>
      <w:pPr>
        <w:spacing w:line="240" w:after="120"/>
        <w:jc w:val="both"/>
      </w:pPr>
      <w:r>
        <w:t xml:space="preserve">Selon l'Organisation Mondiale de la Santé (OMS), la pollution de l'air intérieur est responsable d'environ 4 millions de décès prématurés chaque année à l'échelle mondiale. Au Cameroun, où les foyers sont souvent fermés pour des raisons climatiques et de sécurité, la concentration de polluants atteint des niveaux critiques. Les foyers traditionnels à trois pierres émettent des concentrations en monoxyde de carbone (CO) et en particules fines (PM2.5) largement supérieures aux normes acceptables.</w:t>
      </w:r>
    </w:p>
    <w:p>
      <w:pPr>
        <w:spacing w:after="120"/>
      </w:pPr>
      <w:r>
        <w:t xml:space="preserve">Les principaux impacts sanitaires incluent :</w:t>
      </w:r>
    </w:p>
    <w:p>
      <w:pPr>
        <w:pStyle w:val="ListParagraph"/>
        <w:numPr>
          <w:ilvl w:val="0"/>
          <w:numId w:val="1"/>
        </w:numPr>
        <w:spacing w:line="200"/>
      </w:pPr>
      <w:r>
        <w:t xml:space="preserve">Maladies respiratoires chroniques (pneumonie, asthme, BPCO)</w:t>
      </w:r>
    </w:p>
    <w:p>
      <w:pPr>
        <w:pStyle w:val="ListParagraph"/>
        <w:numPr>
          <w:ilvl w:val="0"/>
          <w:numId w:val="1"/>
        </w:numPr>
        <w:spacing w:line="200"/>
      </w:pPr>
      <w:r>
        <w:t xml:space="preserve">Affections cardiovasculaires liées à l'exposition aux polluants</w:t>
      </w:r>
    </w:p>
    <w:p>
      <w:pPr>
        <w:pStyle w:val="ListParagraph"/>
        <w:numPr>
          <w:ilvl w:val="0"/>
          <w:numId w:val="1"/>
        </w:numPr>
        <w:spacing w:line="200"/>
      </w:pPr>
      <w:r>
        <w:t xml:space="preserve">Complications pendant la grossesse et faible poids des nouveau-nés</w:t>
      </w:r>
    </w:p>
    <w:p>
      <w:pPr>
        <w:pStyle w:val="ListParagraph"/>
        <w:numPr>
          <w:ilvl w:val="0"/>
          <w:numId w:val="1"/>
        </w:numPr>
        <w:spacing w:line="200" w:after="120"/>
      </w:pPr>
      <w:r>
        <w:t xml:space="preserve">Décès prématurés, particulièrement chez les enfants et les femmes (cuisinières principales)</w:t>
      </w:r>
    </w:p>
    <w:p>
      <w:pPr>
        <w:pStyle w:val="Heading2"/>
        <w:pStyle w:val="Heading2"/>
        <w:spacing w:before="200" w:after="120"/>
      </w:pPr>
      <w:r>
        <w:t xml:space="preserve">1.4 Mission et Vision de MANO VERDE INC SA</w:t>
      </w:r>
    </w:p>
    <w:p>
      <w:pPr>
        <w:spacing w:line="240" w:after="120"/>
        <w:jc w:val="both"/>
      </w:pPr>
      <w:r>
        <w:t xml:space="preserve">MANO VERDE INC SA est une entreprise camerounaise de droit OHADA fondée avec la mission de transformer le secteur énergétique domestique en Afrique centrale par des solutions innovantes, durables et culturellement adaptées. Notre vision s'articule autour de trois piliers fondamentaux :</w:t>
      </w:r>
    </w:p>
    <w:p>
      <w:pPr>
        <w:pStyle w:val="ListParagraph"/>
        <w:numPr>
          <w:ilvl w:val="0"/>
          <w:numId w:val="1"/>
        </w:numPr>
        <w:spacing w:line="200"/>
      </w:pPr>
      <w:r>
        <w:t xml:space="preserve">Réduire la charge énergétique sur les ménages par des technologies éprouvées et abordables</w:t>
      </w:r>
    </w:p>
    <w:p>
      <w:pPr>
        <w:pStyle w:val="ListParagraph"/>
        <w:numPr>
          <w:ilvl w:val="0"/>
          <w:numId w:val="1"/>
        </w:numPr>
        <w:spacing w:line="200"/>
      </w:pPr>
      <w:r>
        <w:t xml:space="preserve">Restaurer et protéger les écosystèmes forestiers du Cameroun par la diminution de la pression déforestière</w:t>
      </w:r>
    </w:p>
    <w:p>
      <w:pPr>
        <w:pStyle w:val="ListParagraph"/>
        <w:numPr>
          <w:ilvl w:val="0"/>
          <w:numId w:val="1"/>
        </w:numPr>
        <w:spacing w:line="200" w:after="240"/>
      </w:pPr>
      <w:r>
        <w:t xml:space="preserve">Créer des emplois locaux et valoriser les compétences artisanales par le développement de filières production structurées</w:t>
      </w:r>
    </w:p>
    <w:r>
      <w:br w:type="page"/>
    </w:r>
    <w:p>
      <w:pPr>
        <w:pStyle w:val="Heading1"/>
        <w:pStyle w:val="Heading1"/>
        <w:spacing w:before="240" w:after="240"/>
      </w:pPr>
      <w:r>
        <w:t xml:space="preserve">2. PRINCIPE DE FONCTIONNEMENT DU FOUR À PYROLYSE / BIOMASSE</w:t>
      </w:r>
    </w:p>
    <w:p>
      <w:pPr>
        <w:spacing w:line="240" w:after="200"/>
        <w:jc w:val="both"/>
      </w:pPr>
      <w:r>
        <w:t xml:space="preserve">Le four à pyrolyse/biomasse intègre un concept d'économie circulaire innovant, transformant les déchets organiques domestiques en produits valorisés tout en optimisant la combustion pour une efficacité thermique maximale et des émissions minimales. Le fonctionnement repose sur l'interaction coordonnée de plusieurs composantes.</w:t>
      </w:r>
    </w:p>
    <w:p>
      <w:pPr>
        <w:pStyle w:val="Heading2"/>
        <w:pStyle w:val="Heading2"/>
        <w:spacing w:before="200" w:after="120"/>
      </w:pPr>
      <w:r>
        <w:t xml:space="preserve">2.1 Chambre de Combustion Centrale</w:t>
      </w:r>
    </w:p>
    <w:p>
      <w:pPr>
        <w:spacing w:line="240" w:after="120"/>
        <w:jc w:val="both"/>
      </w:pPr>
      <w:r>
        <w:t xml:space="preserve">La chambre de combustion centrale constitue le cœur thermique du système. Elle accueille la combustion primaire de la biomasse (bois, charbon, résidus agricoles) avec un apport régulé d'air primaire. Cette chambre est caractérisée par :</w:t>
      </w:r>
    </w:p>
    <w:p>
      <w:pPr>
        <w:pStyle w:val="ListParagraph"/>
        <w:numPr>
          <w:ilvl w:val="0"/>
          <w:numId w:val="1"/>
        </w:numPr>
        <w:spacing w:line="200"/>
      </w:pPr>
      <w:r>
        <w:t xml:space="preserve">Dimensions optimisées pour un équilibre entre volume de combustible et surface de rayonnement thermique</w:t>
      </w:r>
    </w:p>
    <w:p>
      <w:pPr>
        <w:pStyle w:val="ListParagraph"/>
        <w:numPr>
          <w:ilvl w:val="0"/>
          <w:numId w:val="1"/>
        </w:numPr>
        <w:spacing w:line="200"/>
      </w:pPr>
      <w:r>
        <w:t xml:space="preserve">Parois épaisses (2-3 mm acier) pour résister aux cycles thermiques répétés</w:t>
      </w:r>
    </w:p>
    <w:p>
      <w:pPr>
        <w:pStyle w:val="ListParagraph"/>
        <w:numPr>
          <w:ilvl w:val="0"/>
          <w:numId w:val="1"/>
        </w:numPr>
        <w:spacing w:line="200" w:after="120"/>
      </w:pPr>
      <w:r>
        <w:t xml:space="preserve">Entrée d'air primaire contrôlée par un clapet ajustable permettant la régulation de la combustion</w:t>
      </w:r>
    </w:p>
    <w:p>
      <w:pPr>
        <w:pStyle w:val="Heading2"/>
        <w:pStyle w:val="Heading2"/>
        <w:spacing w:before="200" w:after="120"/>
      </w:pPr>
      <w:r>
        <w:t xml:space="preserve">2.2 Chambre de Pyrolyse Annulaire</w:t>
      </w:r>
    </w:p>
    <w:p>
      <w:pPr>
        <w:spacing w:line="240" w:after="120"/>
        <w:jc w:val="both"/>
      </w:pPr>
      <w:r>
        <w:t xml:space="preserve">La chambre de pyrolyse constitue une innovation clé du système. Cette chambre annulaire hermétiquement scellée entoure la chambre de combustion centrale et fonctionne comme un réacteur de décomposition thermique sans oxygène (pyrolyse) :</w:t>
      </w:r>
    </w:p>
    <w:p>
      <w:pPr>
        <w:pStyle w:val="ListParagraph"/>
        <w:numPr>
          <w:ilvl w:val="0"/>
          <w:numId w:val="1"/>
        </w:numPr>
        <w:spacing w:line="200"/>
      </w:pPr>
      <w:r>
        <w:t xml:space="preserve">Matière première : déchets organiques domestiques (résidus alimentaires, pailles, feuilles, papiers non traités)</w:t>
      </w:r>
    </w:p>
    <w:p>
      <w:pPr>
        <w:pStyle w:val="ListParagraph"/>
        <w:numPr>
          <w:ilvl w:val="0"/>
          <w:numId w:val="1"/>
        </w:numPr>
        <w:spacing w:line="200"/>
      </w:pPr>
      <w:r>
        <w:t xml:space="preserve">Température opérationnelle : 300-600°C en environnement pauvre en oxygène</w:t>
      </w:r>
    </w:p>
    <w:p>
      <w:pPr>
        <w:pStyle w:val="ListParagraph"/>
        <w:numPr>
          <w:ilvl w:val="0"/>
          <w:numId w:val="1"/>
        </w:numPr>
        <w:spacing w:line="200" w:after="120"/>
      </w:pPr>
      <w:r>
        <w:t xml:space="preserve">Processus : décomposition thermique contrôlée libérant gaz de pyrolyse énergétiques</w:t>
      </w:r>
    </w:p>
    <w:p>
      <w:pPr>
        <w:pStyle w:val="Heading2"/>
        <w:pStyle w:val="Heading2"/>
        <w:spacing w:before="200" w:after="120"/>
      </w:pPr>
      <w:r>
        <w:t xml:space="preserve">2.3 Système Externe de Tuyauterie et Combustion Secondaire</w:t>
      </w:r>
    </w:p>
    <w:p>
      <w:pPr>
        <w:spacing w:line="240" w:after="120"/>
        <w:jc w:val="both"/>
      </w:pPr>
      <w:r>
        <w:t xml:space="preserve">Un système sophistiqué de récupération et réinjection des gaz de pyrolyse assure une combustion complète et l'extraction maximale de l'énergie thermique :</w:t>
      </w:r>
    </w:p>
    <w:p>
      <w:pPr>
        <w:pStyle w:val="ListParagraph"/>
        <w:numPr>
          <w:ilvl w:val="0"/>
          <w:numId w:val="1"/>
        </w:numPr>
        <w:spacing w:line="200"/>
      </w:pPr>
      <w:r>
        <w:t xml:space="preserve">Tuyau perforé : transfère les gaz de pyrolyse depuis la chambre annulaire vers la zone de combustion centrale</w:t>
      </w:r>
    </w:p>
    <w:p>
      <w:pPr>
        <w:pStyle w:val="ListParagraph"/>
        <w:numPr>
          <w:ilvl w:val="0"/>
          <w:numId w:val="1"/>
        </w:numPr>
        <w:spacing w:line="200"/>
      </w:pPr>
      <w:r>
        <w:t xml:space="preserve">Combustion secondaire : réaction complète des gaz avec l'oxygène de la chambre centrale à haute température</w:t>
      </w:r>
    </w:p>
    <w:p>
      <w:pPr>
        <w:pStyle w:val="ListParagraph"/>
        <w:numPr>
          <w:ilvl w:val="0"/>
          <w:numId w:val="1"/>
        </w:numPr>
        <w:spacing w:line="200" w:after="120"/>
      </w:pPr>
      <w:r>
        <w:t xml:space="preserve">Récupération thermique : libération d'une énergie thermique supplémentaire (20-30% du total)</w:t>
      </w:r>
    </w:p>
    <w:p>
      <w:pPr>
        <w:pStyle w:val="Heading2"/>
        <w:pStyle w:val="Heading2"/>
        <w:spacing w:before="200" w:after="120"/>
      </w:pPr>
      <w:r>
        <w:t xml:space="preserve">2.4 Gestion de l'Air Primaire et Secondaire</w:t>
      </w:r>
    </w:p>
    <w:p>
      <w:pPr>
        <w:spacing w:line="240" w:after="120"/>
        <w:jc w:val="both"/>
      </w:pPr>
      <w:r>
        <w:t xml:space="preserve">Le contrôle précis des apports d'air constitue un élément critique pour l'optimisation simultanée de l'efficacité thermique et de la réduction des émissions :</w:t>
      </w:r>
    </w:p>
    <w:p>
      <w:pPr>
        <w:pStyle w:val="ListParagraph"/>
        <w:numPr>
          <w:ilvl w:val="0"/>
          <w:numId w:val="1"/>
        </w:numPr>
        <w:spacing w:line="200"/>
      </w:pPr>
      <w:r>
        <w:t xml:space="preserve">Air primaire : entrée régulée par clapet ajustable à la base de la chambre centrale, contrôlant le taux de combustion</w:t>
      </w:r>
    </w:p>
    <w:p>
      <w:pPr>
        <w:pStyle w:val="ListParagraph"/>
        <w:numPr>
          <w:ilvl w:val="0"/>
          <w:numId w:val="1"/>
        </w:numPr>
        <w:spacing w:line="200"/>
      </w:pPr>
      <w:r>
        <w:t xml:space="preserve">Air secondaire : préchauf fé via le système de tuyauterie externe, injecté pour combustion complète des gaz pyrolytiques</w:t>
      </w:r>
    </w:p>
    <w:p>
      <w:pPr>
        <w:pStyle w:val="ListParagraph"/>
        <w:numPr>
          <w:ilvl w:val="0"/>
          <w:numId w:val="1"/>
        </w:numPr>
        <w:spacing w:line="200" w:after="120"/>
      </w:pPr>
      <w:r>
        <w:t xml:space="preserve">Limitation des imbrûlés : la combustion secondaire réduit les émissions de monoxyde de carbone et de particules</w:t>
      </w:r>
    </w:p>
    <w:p>
      <w:pPr>
        <w:pStyle w:val="Heading2"/>
        <w:pStyle w:val="Heading2"/>
        <w:spacing w:before="200" w:after="120"/>
      </w:pPr>
      <w:r>
        <w:t xml:space="preserve">2.5 Flux de Chaleur et Efficacité Thermique</w:t>
      </w:r>
    </w:p>
    <w:p>
      <w:pPr>
        <w:spacing w:line="240" w:after="120"/>
        <w:jc w:val="both"/>
      </w:pPr>
      <w:r>
        <w:t xml:space="preserve">Le rendement thermique global résulte de la captura de trois types de transferts de chaleur :</w:t>
      </w:r>
    </w:p>
    <w:p>
      <w:pPr>
        <w:pStyle w:val="ListParagraph"/>
        <w:numPr>
          <w:ilvl w:val="0"/>
          <w:numId w:val="1"/>
        </w:numPr>
        <w:spacing w:line="200"/>
      </w:pPr>
      <w:r>
        <w:t xml:space="preserve">Rayonnement : émission directe de chaleur depuis la paroi interne de la chambre de combustion vers la plaque de cuisson</w:t>
      </w:r>
    </w:p>
    <w:p>
      <w:pPr>
        <w:pStyle w:val="ListParagraph"/>
        <w:numPr>
          <w:ilvl w:val="0"/>
          <w:numId w:val="1"/>
        </w:numPr>
        <w:spacing w:line="200"/>
      </w:pPr>
      <w:r>
        <w:t xml:space="preserve">Convection : circulation des gaz chauds autour de la chambre central vers la surface de cuisson</w:t>
      </w:r>
    </w:p>
    <w:p>
      <w:pPr>
        <w:pStyle w:val="ListParagraph"/>
        <w:numPr>
          <w:ilvl w:val="0"/>
          <w:numId w:val="1"/>
        </w:numPr>
        <w:spacing w:line="200" w:after="120"/>
      </w:pPr>
      <w:r>
        <w:t xml:space="preserve">Récupération convective : échangeur thermique ou système de chambre en cascade maximisant le contact gaz-surface</w:t>
      </w:r>
    </w:p>
    <w:p>
      <w:pPr>
        <w:spacing w:line="240" w:after="240"/>
        <w:jc w:val="both"/>
      </w:pPr>
      <w:r>
        <w:t xml:space="preserve">Efficacité thermique cible : supérieure à 40% (mesuré selon ISO 19867), représentant une amélioration de 8-12x par rapport aux foyers traditionnels.</w:t>
      </w:r>
    </w:p>
    <w:r>
      <w:br w:type="page"/>
    </w:r>
    <w:p>
      <w:pPr>
        <w:pStyle w:val="Heading1"/>
        <w:pStyle w:val="Heading1"/>
        <w:spacing w:before="240" w:after="240"/>
      </w:pPr>
      <w:r>
        <w:t xml:space="preserve">3. VERSIONS MATÉRIELLES</w:t>
      </w:r>
    </w:p>
    <w:p>
      <w:pPr>
        <w:spacing w:line="240" w:after="200"/>
        <w:jc w:val="both"/>
      </w:pPr>
      <w:r>
        <w:t xml:space="preserve">MANO VERDE INC SA développe deux variantes matérielles complémentaires, chacune optimisée pour des contextes géographiques, économiques et culturels distincts, tout en respectant les mêmes principes fonctionnels fondamentaux.</w:t>
      </w:r>
    </w:p>
    <w:p>
      <w:pPr>
        <w:pStyle w:val="Heading2"/>
        <w:pStyle w:val="Heading2"/>
        <w:spacing w:before="200" w:after="120"/>
      </w:pPr>
      <w:r>
        <w:t xml:space="preserve">3.1 Version Métallique Semi-Industrielle</w:t>
      </w:r>
    </w:p>
    <w:p>
      <w:pPr>
        <w:spacing w:line="240" w:after="120"/>
        <w:jc w:val="both"/>
      </w:pPr>
      <w:r>
        <w:t xml:space="preserve">Cette version privilégie les matériaux industriels modernes et la production mécanique pour atteindre une qualité et une répétabilité constante.</w:t>
      </w:r>
    </w:p>
    <w:p>
      <w:pPr>
        <w:spacing w:after="120"/>
      </w:pPr>
      <w:r>
        <w:t xml:space="preserve">Caractéristiques Techniques :</w:t>
      </w:r>
    </w:p>
    <w:p>
      <w:pPr>
        <w:pStyle w:val="ListParagraph"/>
        <w:numPr>
          <w:ilvl w:val="0"/>
          <w:numId w:val="1"/>
        </w:numPr>
        <w:spacing w:line="200"/>
      </w:pPr>
      <w:r>
        <w:t xml:space="preserve">Chambre de combustion centrale : tôle acier 2-3mm (résilience thermique haute)</w:t>
      </w:r>
    </w:p>
    <w:p>
      <w:pPr>
        <w:pStyle w:val="ListParagraph"/>
        <w:numPr>
          <w:ilvl w:val="0"/>
          <w:numId w:val="1"/>
        </w:numPr>
        <w:spacing w:line="200"/>
      </w:pPr>
      <w:r>
        <w:t xml:space="preserve">Enveloppe externe : tôle acier 1.5mm (légèreté et économies de matière)</w:t>
      </w:r>
    </w:p>
    <w:p>
      <w:pPr>
        <w:pStyle w:val="ListParagraph"/>
        <w:numPr>
          <w:ilvl w:val="0"/>
          <w:numId w:val="1"/>
        </w:numPr>
        <w:spacing w:line="200"/>
      </w:pPr>
      <w:r>
        <w:t xml:space="preserve">Tuyau de gaz pyrolytiques : acier inoxydable (résistance à la corrosion et durabilité)</w:t>
      </w:r>
    </w:p>
    <w:p>
      <w:pPr>
        <w:pStyle w:val="ListParagraph"/>
        <w:numPr>
          <w:ilvl w:val="0"/>
          <w:numId w:val="1"/>
        </w:numPr>
        <w:spacing w:line="200"/>
      </w:pPr>
      <w:r>
        <w:t xml:space="preserve">Construction : soudage structurel d'éléments modulaires</w:t>
      </w:r>
    </w:p>
    <w:p>
      <w:pPr>
        <w:pStyle w:val="ListParagraph"/>
        <w:numPr>
          <w:ilvl w:val="0"/>
          <w:numId w:val="1"/>
        </w:numPr>
        <w:spacing w:line="200" w:after="120"/>
      </w:pPr>
      <w:r>
        <w:t xml:space="preserve">Isolant thermique : laine minérale ou argile expansée (performante et disponible)</w:t>
      </w:r>
    </w:p>
    <w:p>
      <w:pPr>
        <w:spacing w:after="120"/>
      </w:pPr>
      <w:r>
        <w:t xml:space="preserve">Production Industrielle :</w:t>
      </w:r>
    </w:p>
    <w:p>
      <w:pPr>
        <w:pStyle w:val="ListParagraph"/>
        <w:numPr>
          <w:ilvl w:val="0"/>
          <w:numId w:val="1"/>
        </w:numPr>
        <w:spacing w:line="200"/>
      </w:pPr>
      <w:r>
        <w:t xml:space="preserve">Capacité de production : 50-100 unités par mois par atelier de fabrication</w:t>
      </w:r>
    </w:p>
    <w:p>
      <w:pPr>
        <w:pStyle w:val="ListParagraph"/>
        <w:numPr>
          <w:ilvl w:val="0"/>
          <w:numId w:val="1"/>
        </w:numPr>
        <w:spacing w:line="200"/>
      </w:pPr>
      <w:r>
        <w:t xml:space="preserve">Emplois créés par atelier : 8-12 postes (découpe acier, soudage, assemblage, contrôle qualité)</w:t>
      </w:r>
    </w:p>
    <w:p>
      <w:pPr>
        <w:pStyle w:val="ListParagraph"/>
        <w:numPr>
          <w:ilvl w:val="0"/>
          <w:numId w:val="1"/>
        </w:numPr>
        <w:spacing w:line="200" w:after="120"/>
      </w:pPr>
      <w:r>
        <w:t xml:space="preserve">Localisation préférée : zones péri-urbaines avec accès à électricité et matériaux</w:t>
      </w:r>
    </w:p>
    <w:p>
      <w:pPr>
        <w:spacing w:after="120"/>
      </w:pPr>
      <w:r>
        <w:t xml:space="preserve">Coûts Cibles :</w:t>
      </w:r>
    </w:p>
    <w:p>
      <w:pPr>
        <w:pStyle w:val="ListParagraph"/>
        <w:numPr>
          <w:ilvl w:val="0"/>
          <w:numId w:val="1"/>
        </w:numPr>
        <w:spacing w:line="200"/>
      </w:pPr>
      <w:r>
        <w:t xml:space="preserve">Coût de production : 15,000-25,000 FCFA</w:t>
      </w:r>
    </w:p>
    <w:p>
      <w:pPr>
        <w:pStyle w:val="ListParagraph"/>
        <w:numPr>
          <w:ilvl w:val="0"/>
          <w:numId w:val="1"/>
        </w:numPr>
        <w:spacing w:line="200" w:after="120"/>
      </w:pPr>
      <w:r>
        <w:t xml:space="preserve">Prix de vente détail : 25,000-45,000 FCFA (marge distributeur et institution)</w:t>
      </w:r>
    </w:p>
    <w:p>
      <w:pPr>
        <w:pStyle w:val="Heading2"/>
        <w:pStyle w:val="Heading2"/>
        <w:spacing w:before="200" w:after="120"/>
      </w:pPr>
      <w:r>
        <w:t xml:space="preserve">3.2 Version Hybride Métal + Argile/Terre</w:t>
      </w:r>
    </w:p>
    <w:p>
      <w:pPr>
        <w:spacing w:line="240" w:after="120"/>
        <w:jc w:val="both"/>
      </w:pPr>
      <w:r>
        <w:t xml:space="preserve">Cette version représente un modèle d'innovation inclusive, fusionnant une chambre de combustion métallique industrielle avec une isolation et enveloppe externes en argile/terre, valorisant les techniques artisanales locales.</w:t>
      </w:r>
    </w:p>
    <w:p>
      <w:pPr>
        <w:spacing w:after="120"/>
      </w:pPr>
      <w:r>
        <w:t xml:space="preserve">Caractéristiques Techniques :</w:t>
      </w:r>
    </w:p>
    <w:p>
      <w:pPr>
        <w:pStyle w:val="ListParagraph"/>
        <w:numPr>
          <w:ilvl w:val="0"/>
          <w:numId w:val="1"/>
        </w:numPr>
        <w:spacing w:line="200"/>
      </w:pPr>
      <w:r>
        <w:t xml:space="preserve">Noyau interne : chambre métallique conforme à version semi-industrielle</w:t>
      </w:r>
    </w:p>
    <w:p>
      <w:pPr>
        <w:pStyle w:val="ListParagraph"/>
        <w:numPr>
          <w:ilvl w:val="0"/>
          <w:numId w:val="1"/>
        </w:numPr>
        <w:spacing w:line="200"/>
      </w:pPr>
      <w:r>
        <w:t xml:space="preserve">Enveloppe externe : revêtement en argile/terre modelée (isolation thermique + esthétique culturelle)</w:t>
      </w:r>
    </w:p>
    <w:p>
      <w:pPr>
        <w:pStyle w:val="ListParagraph"/>
        <w:numPr>
          <w:ilvl w:val="0"/>
          <w:numId w:val="1"/>
        </w:numPr>
        <w:spacing w:line="200"/>
      </w:pPr>
      <w:r>
        <w:t xml:space="preserve">Matériaux d'isolation : argile, sciure de riz, paille hachée, cendre vulcanisée (tous locaux)</w:t>
      </w:r>
    </w:p>
    <w:p>
      <w:pPr>
        <w:pStyle w:val="ListParagraph"/>
        <w:numPr>
          <w:ilvl w:val="0"/>
          <w:numId w:val="1"/>
        </w:numPr>
        <w:spacing w:line="200" w:after="120"/>
      </w:pPr>
      <w:r>
        <w:t xml:space="preserve">Finition : poterie vernissée ou enduit minéral pour durabilité et esthétique</w:t>
      </w:r>
    </w:p>
    <w:p>
      <w:pPr>
        <w:spacing w:after="120"/>
      </w:pPr>
      <w:r>
        <w:t xml:space="preserve">Production Artisanale Locale :</w:t>
      </w:r>
    </w:p>
    <w:p>
      <w:pPr>
        <w:pStyle w:val="ListParagraph"/>
        <w:numPr>
          <w:ilvl w:val="0"/>
          <w:numId w:val="1"/>
        </w:numPr>
        <w:spacing w:line="200"/>
      </w:pPr>
      <w:r>
        <w:t xml:space="preserve">Modèle de partenariat : potiers/maçons locaux + fournisseur de noyau métallique</w:t>
      </w:r>
    </w:p>
    <w:p>
      <w:pPr>
        <w:pStyle w:val="ListParagraph"/>
        <w:numPr>
          <w:ilvl w:val="0"/>
          <w:numId w:val="1"/>
        </w:numPr>
        <w:spacing w:line="200"/>
      </w:pPr>
      <w:r>
        <w:t xml:space="preserve">Techniques traditionnelles : modelage manuel, cuisson au four ou séchage naturel</w:t>
      </w:r>
    </w:p>
    <w:p>
      <w:pPr>
        <w:pStyle w:val="ListParagraph"/>
        <w:numPr>
          <w:ilvl w:val="0"/>
          <w:numId w:val="1"/>
        </w:numPr>
        <w:spacing w:line="200"/>
      </w:pPr>
      <w:r>
        <w:t xml:space="preserve">Capacité : 20-50 unités par mois par collectif artisanal</w:t>
      </w:r>
    </w:p>
    <w:p>
      <w:pPr>
        <w:pStyle w:val="ListParagraph"/>
        <w:numPr>
          <w:ilvl w:val="0"/>
          <w:numId w:val="1"/>
        </w:numPr>
        <w:spacing w:line="200" w:after="120"/>
      </w:pPr>
      <w:r>
        <w:t xml:space="preserve">Localisation : villages ruraux et péri-urbains avec tradition poterie</w:t>
      </w:r>
    </w:p>
    <w:p>
      <w:pPr>
        <w:spacing w:after="120"/>
      </w:pPr>
      <w:r>
        <w:t xml:space="preserve">Chaîne Économique :</w:t>
      </w:r>
    </w:p>
    <w:p>
      <w:pPr>
        <w:pStyle w:val="ListParagraph"/>
        <w:numPr>
          <w:ilvl w:val="0"/>
          <w:numId w:val="1"/>
        </w:numPr>
        <w:spacing w:line="200"/>
      </w:pPr>
      <w:r>
        <w:t xml:space="preserve">Intégration verticale : réduction des coûts par sourcing local des matières premières</w:t>
      </w:r>
    </w:p>
    <w:p>
      <w:pPr>
        <w:pStyle w:val="ListParagraph"/>
        <w:numPr>
          <w:ilvl w:val="0"/>
          <w:numId w:val="1"/>
        </w:numPr>
        <w:spacing w:line="200"/>
      </w:pPr>
      <w:r>
        <w:t xml:space="preserve">Création d'emplois : exploitation des ressources humaines locales (potiers, collecteurs argile, femmes pour finitions)</w:t>
      </w:r>
    </w:p>
    <w:p>
      <w:pPr>
        <w:pStyle w:val="ListParagraph"/>
        <w:numPr>
          <w:ilvl w:val="0"/>
          <w:numId w:val="1"/>
        </w:numPr>
        <w:spacing w:line="200" w:after="120"/>
      </w:pPr>
      <w:r>
        <w:t xml:space="preserve">Accessibilité financière : réduction significative du coût production vs version métallique</w:t>
      </w:r>
    </w:p>
    <w:p>
      <w:pPr>
        <w:spacing w:after="120"/>
      </w:pPr>
      <w:r>
        <w:t xml:space="preserve">Coûts Cibles :</w:t>
      </w:r>
    </w:p>
    <w:p>
      <w:pPr>
        <w:pStyle w:val="ListParagraph"/>
        <w:numPr>
          <w:ilvl w:val="0"/>
          <w:numId w:val="1"/>
        </w:numPr>
        <w:spacing w:line="200"/>
      </w:pPr>
      <w:r>
        <w:t xml:space="preserve">Coût de production : 5,000-12,000 FCFA</w:t>
      </w:r>
    </w:p>
    <w:p>
      <w:pPr>
        <w:pStyle w:val="ListParagraph"/>
        <w:numPr>
          <w:ilvl w:val="0"/>
          <w:numId w:val="1"/>
        </w:numPr>
        <w:spacing w:line="200" w:after="240"/>
      </w:pPr>
      <w:r>
        <w:t xml:space="preserve">Prix de vente détail : 10,000-20,000 FCFA</w:t>
      </w:r>
    </w:p>
    <w:r>
      <w:br w:type="page"/>
    </w:r>
    <w:p>
      <w:pPr>
        <w:pStyle w:val="Heading1"/>
        <w:pStyle w:val="Heading1"/>
        <w:spacing w:before="240" w:after="240"/>
      </w:pPr>
      <w:r>
        <w:t xml:space="preserve">4. PERFORMANCES CIBLES</w:t>
      </w:r>
    </w:p>
    <w:p>
      <w:pPr>
        <w:spacing w:line="240" w:after="200"/>
        <w:jc w:val="both"/>
      </w:pPr>
      <w:r>
        <w:t xml:space="preserve">Les objectifs de performance du four à pyrolyse/biomasse reflètent un équilibre entre efficacité énergétique, réduction d'émissions polluantes, durabilité matérielle et résultat économique. Ces objectifs s'alignent sur les standards internationaux (ISO 19867) et les besoins du marché domestique camerounais.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6"/>
              <w:left w:val="single" w:sz="6"/>
              <w:bottom w:val="single" w:sz="6"/>
              <w:right w:val="single" w:sz="6"/>
            </w:tcBorders>
            <w:shd w:fill="D3D3D3"/>
          </w:tcPr>
          <w:p>
            <w:r>
              <w:t xml:space="preserve">Paramètre</w:t>
            </w:r>
          </w:p>
        </w:tc>
        <w:tc>
          <w:tcPr>
            <w:tcBorders>
              <w:top w:val="single" w:sz="6"/>
              <w:left w:val="single" w:sz="6"/>
              <w:bottom w:val="single" w:sz="6"/>
              <w:right w:val="single" w:sz="6"/>
            </w:tcBorders>
            <w:shd w:fill="D3D3D3"/>
          </w:tcPr>
          <w:p>
            <w:r>
              <w:t xml:space="preserve">Cible</w:t>
            </w:r>
          </w:p>
        </w:tc>
        <w:tc>
          <w:tcPr>
            <w:tcBorders>
              <w:top w:val="single" w:sz="6"/>
              <w:left w:val="single" w:sz="6"/>
              <w:bottom w:val="single" w:sz="6"/>
              <w:right w:val="single" w:sz="6"/>
            </w:tcBorders>
            <w:shd w:fill="D3D3D3"/>
          </w:tcPr>
          <w:p>
            <w:r>
              <w:t xml:space="preserve">Unité</w:t>
            </w:r>
          </w:p>
        </w:tc>
      </w:tr>
      <w:tr>
        <w:tc>
          <w:tcPr>
            <w:tcBorders>
              <w:top w:val="single" w:sz="6"/>
              <w:left w:val="single" w:sz="6"/>
              <w:bottom w:val="single" w:sz="6"/>
              <w:right w:val="single" w:sz="6"/>
            </w:tcBorders>
          </w:tcPr>
          <w:p>
            <w:r>
              <w:t xml:space="preserve">Réduction consommation combustible</w:t>
            </w:r>
          </w:p>
        </w:tc>
        <w:tc>
          <w:tcPr>
            <w:tcBorders>
              <w:top w:val="single" w:sz="6"/>
              <w:left w:val="single" w:sz="6"/>
              <w:bottom w:val="single" w:sz="6"/>
              <w:right w:val="single" w:sz="6"/>
            </w:tcBorders>
          </w:tcPr>
          <w:p>
            <w:r>
              <w:t xml:space="preserve">50-70</w:t>
            </w:r>
          </w:p>
        </w:tc>
        <w:tc>
          <w:tcPr>
            <w:tcBorders>
              <w:top w:val="single" w:sz="6"/>
              <w:left w:val="single" w:sz="6"/>
              <w:bottom w:val="single" w:sz="6"/>
              <w:right w:val="single" w:sz="6"/>
            </w:tcBorders>
          </w:tcPr>
          <w:p>
            <w:r>
              <w:t xml:space="preserve">%</w:t>
            </w:r>
          </w:p>
        </w:tc>
      </w:tr>
      <w:tr>
        <w:tc>
          <w:tcPr>
            <w:tcBorders>
              <w:top w:val="single" w:sz="6"/>
              <w:left w:val="single" w:sz="6"/>
              <w:bottom w:val="single" w:sz="6"/>
              <w:right w:val="single" w:sz="6"/>
            </w:tcBorders>
          </w:tcPr>
          <w:p>
            <w:r>
              <w:t xml:space="preserve">Réduction émissions CO</w:t>
            </w:r>
          </w:p>
        </w:tc>
        <w:tc>
          <w:tcPr>
            <w:tcBorders>
              <w:top w:val="single" w:sz="6"/>
              <w:left w:val="single" w:sz="6"/>
              <w:bottom w:val="single" w:sz="6"/>
              <w:right w:val="single" w:sz="6"/>
            </w:tcBorders>
          </w:tcPr>
          <w:p>
            <w:r>
              <w:t xml:space="preserve">&gt; 60</w:t>
            </w:r>
          </w:p>
        </w:tc>
        <w:tc>
          <w:tcPr>
            <w:tcBorders>
              <w:top w:val="single" w:sz="6"/>
              <w:left w:val="single" w:sz="6"/>
              <w:bottom w:val="single" w:sz="6"/>
              <w:right w:val="single" w:sz="6"/>
            </w:tcBorders>
          </w:tcPr>
          <w:p>
            <w:r>
              <w:t xml:space="preserve">%</w:t>
            </w:r>
          </w:p>
        </w:tc>
      </w:tr>
      <w:tr>
        <w:tc>
          <w:tcPr>
            <w:tcBorders>
              <w:top w:val="single" w:sz="6"/>
              <w:left w:val="single" w:sz="6"/>
              <w:bottom w:val="single" w:sz="6"/>
              <w:right w:val="single" w:sz="6"/>
            </w:tcBorders>
          </w:tcPr>
          <w:p>
            <w:r>
              <w:t xml:space="preserve">Réduction émissions PM2.5</w:t>
            </w:r>
          </w:p>
        </w:tc>
        <w:tc>
          <w:tcPr>
            <w:tcBorders>
              <w:top w:val="single" w:sz="6"/>
              <w:left w:val="single" w:sz="6"/>
              <w:bottom w:val="single" w:sz="6"/>
              <w:right w:val="single" w:sz="6"/>
            </w:tcBorders>
          </w:tcPr>
          <w:p>
            <w:r>
              <w:t xml:space="preserve">&gt; 70</w:t>
            </w:r>
          </w:p>
        </w:tc>
        <w:tc>
          <w:tcPr>
            <w:tcBorders>
              <w:top w:val="single" w:sz="6"/>
              <w:left w:val="single" w:sz="6"/>
              <w:bottom w:val="single" w:sz="6"/>
              <w:right w:val="single" w:sz="6"/>
            </w:tcBorders>
          </w:tcPr>
          <w:p>
            <w:r>
              <w:t xml:space="preserve">%</w:t>
            </w:r>
          </w:p>
        </w:tc>
      </w:tr>
      <w:tr>
        <w:tc>
          <w:tcPr>
            <w:tcBorders>
              <w:top w:val="single" w:sz="6"/>
              <w:left w:val="single" w:sz="6"/>
              <w:bottom w:val="single" w:sz="6"/>
              <w:right w:val="single" w:sz="6"/>
            </w:tcBorders>
          </w:tcPr>
          <w:p>
            <w:r>
              <w:t xml:space="preserve">Conformité normes ISO 19867</w:t>
            </w:r>
          </w:p>
        </w:tc>
        <w:tc>
          <w:tcPr>
            <w:tcBorders>
              <w:top w:val="single" w:sz="6"/>
              <w:left w:val="single" w:sz="6"/>
              <w:bottom w:val="single" w:sz="6"/>
              <w:right w:val="single" w:sz="6"/>
            </w:tcBorders>
          </w:tcPr>
          <w:p>
            <w:r>
              <w:t xml:space="preserve">Tier 3-4</w:t>
            </w:r>
          </w:p>
        </w:tc>
        <w:tc>
          <w:tcPr>
            <w:tcBorders>
              <w:top w:val="single" w:sz="6"/>
              <w:left w:val="single" w:sz="6"/>
              <w:bottom w:val="single" w:sz="6"/>
              <w:right w:val="single" w:sz="6"/>
            </w:tcBorders>
          </w:tcPr>
          <w:p>
            <w:r>
              <w:t xml:space="preserve">Classe</w:t>
            </w:r>
          </w:p>
        </w:tc>
      </w:tr>
      <w:tr>
        <w:tc>
          <w:tcPr>
            <w:tcBorders>
              <w:top w:val="single" w:sz="6"/>
              <w:left w:val="single" w:sz="6"/>
              <w:bottom w:val="single" w:sz="6"/>
              <w:right w:val="single" w:sz="6"/>
            </w:tcBorders>
          </w:tcPr>
          <w:p>
            <w:r>
              <w:t xml:space="preserve">Durée de vie (version métal)</w:t>
            </w:r>
          </w:p>
        </w:tc>
        <w:tc>
          <w:tcPr>
            <w:tcBorders>
              <w:top w:val="single" w:sz="6"/>
              <w:left w:val="single" w:sz="6"/>
              <w:bottom w:val="single" w:sz="6"/>
              <w:right w:val="single" w:sz="6"/>
            </w:tcBorders>
          </w:tcPr>
          <w:p>
            <w:r>
              <w:t xml:space="preserve">3-5</w:t>
            </w:r>
          </w:p>
        </w:tc>
        <w:tc>
          <w:tcPr>
            <w:tcBorders>
              <w:top w:val="single" w:sz="6"/>
              <w:left w:val="single" w:sz="6"/>
              <w:bottom w:val="single" w:sz="6"/>
              <w:right w:val="single" w:sz="6"/>
            </w:tcBorders>
          </w:tcPr>
          <w:p>
            <w:r>
              <w:t xml:space="preserve">ans</w:t>
            </w:r>
          </w:p>
        </w:tc>
      </w:tr>
      <w:tr>
        <w:tc>
          <w:tcPr>
            <w:tcBorders>
              <w:top w:val="single" w:sz="6"/>
              <w:left w:val="single" w:sz="6"/>
              <w:bottom w:val="single" w:sz="6"/>
              <w:right w:val="single" w:sz="6"/>
            </w:tcBorders>
          </w:tcPr>
          <w:p>
            <w:r>
              <w:t xml:space="preserve">Durée de vie (version hybride)</w:t>
            </w:r>
          </w:p>
        </w:tc>
        <w:tc>
          <w:tcPr>
            <w:tcBorders>
              <w:top w:val="single" w:sz="6"/>
              <w:left w:val="single" w:sz="6"/>
              <w:bottom w:val="single" w:sz="6"/>
              <w:right w:val="single" w:sz="6"/>
            </w:tcBorders>
          </w:tcPr>
          <w:p>
            <w:r>
              <w:t xml:space="preserve">2-3</w:t>
            </w:r>
          </w:p>
        </w:tc>
        <w:tc>
          <w:tcPr>
            <w:tcBorders>
              <w:top w:val="single" w:sz="6"/>
              <w:left w:val="single" w:sz="6"/>
              <w:bottom w:val="single" w:sz="6"/>
              <w:right w:val="single" w:sz="6"/>
            </w:tcBorders>
          </w:tcPr>
          <w:p>
            <w:r>
              <w:t xml:space="preserve">ans</w:t>
            </w:r>
          </w:p>
        </w:tc>
      </w:tr>
      <w:tr>
        <w:tc>
          <w:tcPr>
            <w:tcBorders>
              <w:top w:val="single" w:sz="6"/>
              <w:left w:val="single" w:sz="6"/>
              <w:bottom w:val="single" w:sz="6"/>
              <w:right w:val="single" w:sz="6"/>
            </w:tcBorders>
          </w:tcPr>
          <w:p>
            <w:r>
              <w:t xml:space="preserve">Autonomie de cuisson continue</w:t>
            </w:r>
          </w:p>
        </w:tc>
        <w:tc>
          <w:tcPr>
            <w:tcBorders>
              <w:top w:val="single" w:sz="6"/>
              <w:left w:val="single" w:sz="6"/>
              <w:bottom w:val="single" w:sz="6"/>
              <w:right w:val="single" w:sz="6"/>
            </w:tcBorders>
          </w:tcPr>
          <w:p>
            <w:r>
              <w:t xml:space="preserve">2-3</w:t>
            </w:r>
          </w:p>
        </w:tc>
        <w:tc>
          <w:tcPr>
            <w:tcBorders>
              <w:top w:val="single" w:sz="6"/>
              <w:left w:val="single" w:sz="6"/>
              <w:bottom w:val="single" w:sz="6"/>
              <w:right w:val="single" w:sz="6"/>
            </w:tcBorders>
          </w:tcPr>
          <w:p>
            <w:r>
              <w:t xml:space="preserve">heures</w:t>
            </w:r>
          </w:p>
        </w:tc>
      </w:tr>
      <w:tr>
        <w:tc>
          <w:tcPr>
            <w:tcBorders>
              <w:top w:val="single" w:sz="6"/>
              <w:left w:val="single" w:sz="6"/>
              <w:bottom w:val="single" w:sz="6"/>
              <w:right w:val="single" w:sz="6"/>
            </w:tcBorders>
          </w:tcPr>
          <w:p>
            <w:r>
              <w:t xml:space="preserve">Capacité traitement déchets/session</w:t>
            </w:r>
          </w:p>
        </w:tc>
        <w:tc>
          <w:tcPr>
            <w:tcBorders>
              <w:top w:val="single" w:sz="6"/>
              <w:left w:val="single" w:sz="6"/>
              <w:bottom w:val="single" w:sz="6"/>
              <w:right w:val="single" w:sz="6"/>
            </w:tcBorders>
          </w:tcPr>
          <w:p>
            <w:r>
              <w:t xml:space="preserve">1-2</w:t>
            </w:r>
          </w:p>
        </w:tc>
        <w:tc>
          <w:tcPr>
            <w:tcBorders>
              <w:top w:val="single" w:sz="6"/>
              <w:left w:val="single" w:sz="6"/>
              <w:bottom w:val="single" w:sz="6"/>
              <w:right w:val="single" w:sz="6"/>
            </w:tcBorders>
          </w:tcPr>
          <w:p>
            <w:r>
              <w:t xml:space="preserve">kg</w:t>
            </w:r>
          </w:p>
        </w:tc>
      </w:tr>
      <w:tr>
        <w:tc>
          <w:tcPr>
            <w:tcBorders>
              <w:top w:val="single" w:sz="6"/>
              <w:left w:val="single" w:sz="6"/>
              <w:bottom w:val="single" w:sz="6"/>
              <w:right w:val="single" w:sz="6"/>
            </w:tcBorders>
          </w:tcPr>
          <w:p>
            <w:r>
              <w:t xml:space="preserve">Production biochar par session</w:t>
            </w:r>
          </w:p>
        </w:tc>
        <w:tc>
          <w:tcPr>
            <w:tcBorders>
              <w:top w:val="single" w:sz="6"/>
              <w:left w:val="single" w:sz="6"/>
              <w:bottom w:val="single" w:sz="6"/>
              <w:right w:val="single" w:sz="6"/>
            </w:tcBorders>
          </w:tcPr>
          <w:p>
            <w:r>
              <w:t xml:space="preserve">200-400</w:t>
            </w:r>
          </w:p>
        </w:tc>
        <w:tc>
          <w:tcPr>
            <w:tcBorders>
              <w:top w:val="single" w:sz="6"/>
              <w:left w:val="single" w:sz="6"/>
              <w:bottom w:val="single" w:sz="6"/>
              <w:right w:val="single" w:sz="6"/>
            </w:tcBorders>
          </w:tcPr>
          <w:p>
            <w:r>
              <w:t xml:space="preserve">g</w:t>
            </w:r>
          </w:p>
        </w:tc>
      </w:tr>
    </w:tbl>
    <w:p>
      <w:pPr>
        <w:spacing w:after="200"/>
      </w:pPr>
    </w:p>
    <w:p>
      <w:pPr>
        <w:pStyle w:val="Heading2"/>
        <w:pStyle w:val="Heading2"/>
        <w:spacing w:before="200" w:after="120"/>
      </w:pPr>
      <w:r>
        <w:t xml:space="preserve">4.1 Réduction de la Consommation Énergétique</w:t>
      </w:r>
    </w:p>
    <w:p>
      <w:pPr>
        <w:spacing w:line="240" w:after="120"/>
        <w:jc w:val="both"/>
      </w:pPr>
      <w:r>
        <w:t xml:space="preserve">Les foyers traditionnels à trois pierres affichent une efficacité thermique très faible (3-5%), signifiant que 95-97% de l'énergie du combustible est perdue. Le four à pyrolyse/biomasse, par sa conception novatrice, atteint une efficacité supérieure à 40%. Cela se traduit par une réduction de 50-70% de la consommation de bois/charbon pour satisfaire les mêmes besoins culinaires.</w:t>
      </w:r>
    </w:p>
    <w:p>
      <w:pPr>
        <w:pStyle w:val="ListParagraph"/>
        <w:numPr>
          <w:ilvl w:val="0"/>
          <w:numId w:val="1"/>
        </w:numPr>
        <w:spacing w:line="200"/>
      </w:pPr>
      <w:r>
        <w:t xml:space="preserve">Impact économique direct : réduction annuelle de 1,000-1,500 FCFA par ménage (selon contexte rural/urbain)</w:t>
      </w:r>
    </w:p>
    <w:p>
      <w:pPr>
        <w:pStyle w:val="ListParagraph"/>
        <w:numPr>
          <w:ilvl w:val="0"/>
          <w:numId w:val="1"/>
        </w:numPr>
        <w:spacing w:line="200" w:after="120"/>
      </w:pPr>
      <w:r>
        <w:t xml:space="preserve">Temps de collecte combustible réduit de 60-70%, libérant temps pour activités génératrices de revenus</w:t>
      </w:r>
    </w:p>
    <w:p>
      <w:pPr>
        <w:pStyle w:val="Heading2"/>
        <w:pStyle w:val="Heading2"/>
        <w:spacing w:before="200" w:after="120"/>
      </w:pPr>
      <w:r>
        <w:t xml:space="preserve">4.2 Réduction des Émissions Polluantes</w:t>
      </w:r>
    </w:p>
    <w:p>
      <w:pPr>
        <w:spacing w:line="240" w:after="120"/>
        <w:jc w:val="both"/>
      </w:pPr>
      <w:r>
        <w:t xml:space="preserve">Les foyers traditionnels génèrent des concentrations critiques de polluants. Le four à pyrolyse/biomasse, par la combustion secondaire des gaz pyrolytiques, attaint :</w:t>
      </w:r>
    </w:p>
    <w:p>
      <w:pPr>
        <w:pStyle w:val="ListParagraph"/>
        <w:numPr>
          <w:ilvl w:val="0"/>
          <w:numId w:val="1"/>
        </w:numPr>
        <w:spacing w:line="200"/>
      </w:pPr>
      <w:r>
        <w:t xml:space="preserve">Réduction CO &gt; 60% : combustion complète des gaz résiduels élimine les imbrûlés, réduisant significativement le monoxyde de carbone</w:t>
      </w:r>
    </w:p>
    <w:p>
      <w:pPr>
        <w:pStyle w:val="ListParagraph"/>
        <w:numPr>
          <w:ilvl w:val="0"/>
          <w:numId w:val="1"/>
        </w:numPr>
        <w:spacing w:line="200" w:after="120"/>
      </w:pPr>
      <w:r>
        <w:t xml:space="preserve">Réduction PM2.5 &gt; 70% : configuration interne minimise les entrainements de particules, amélioration marquée via combustion améliorée</w:t>
      </w:r>
    </w:p>
    <w:p>
      <w:pPr>
        <w:spacing w:line="240" w:after="120"/>
        <w:jc w:val="both"/>
      </w:pPr>
      <w:r>
        <w:t xml:space="preserve">Ces réductions placent le four aux normes ISO 19867 Tier 3-4, conformité aux standards internationaux de santé publique.</w:t>
      </w:r>
    </w:p>
    <w:p>
      <w:pPr>
        <w:pStyle w:val="Heading2"/>
        <w:pStyle w:val="Heading2"/>
        <w:spacing w:before="200" w:after="120"/>
      </w:pPr>
      <w:r>
        <w:t xml:space="preserve">4.3 Durée de Vie et Fiabilité</w:t>
      </w:r>
    </w:p>
    <w:p>
      <w:pPr>
        <w:pStyle w:val="ListParagraph"/>
        <w:numPr>
          <w:ilvl w:val="0"/>
          <w:numId w:val="1"/>
        </w:numPr>
        <w:spacing w:line="200"/>
      </w:pPr>
      <w:r>
        <w:t xml:space="preserve">Version métallique semi-industrielle : 3-5 ans de fonctionnement normal (usage quotidien, 2-3 sessions/jour)</w:t>
      </w:r>
    </w:p>
    <w:p>
      <w:pPr>
        <w:pStyle w:val="ListParagraph"/>
        <w:numPr>
          <w:ilvl w:val="0"/>
          <w:numId w:val="1"/>
        </w:numPr>
        <w:spacing w:line="200" w:after="120"/>
      </w:pPr>
      <w:r>
        <w:t xml:space="preserve">Version hybride métal + argile : 2-3 ans (revêtement argile demande entretien périodique)</w:t>
      </w:r>
    </w:p>
    <w:p>
      <w:pPr>
        <w:pStyle w:val="Heading2"/>
        <w:pStyle w:val="Heading2"/>
        <w:spacing w:before="200" w:after="120"/>
      </w:pPr>
      <w:r>
        <w:t xml:space="preserve">4.4 Traitement de Déchets Organiques et Production Biochar</w:t>
      </w:r>
    </w:p>
    <w:p>
      <w:pPr>
        <w:spacing w:line="240" w:after="120"/>
        <w:jc w:val="both"/>
      </w:pPr>
      <w:r>
        <w:t xml:space="preserve">Innovation clé : transformation de déchets organiques domestiques (résidus alimentaires, pailles, feuilles) en biochar valorisé</w:t>
      </w:r>
    </w:p>
    <w:p>
      <w:pPr>
        <w:pStyle w:val="ListParagraph"/>
        <w:numPr>
          <w:ilvl w:val="0"/>
          <w:numId w:val="1"/>
        </w:numPr>
        <w:spacing w:line="200"/>
      </w:pPr>
      <w:r>
        <w:t xml:space="preserve">Capacité de traitement : 1-2 kg de déchets organiques par session de cuisson</w:t>
      </w:r>
    </w:p>
    <w:p>
      <w:pPr>
        <w:pStyle w:val="ListParagraph"/>
        <w:numPr>
          <w:ilvl w:val="0"/>
          <w:numId w:val="1"/>
        </w:numPr>
        <w:spacing w:line="200"/>
      </w:pPr>
      <w:r>
        <w:t xml:space="preserve">Production de biochar : 200-400g par session, soit 50-100 kg annuels par ménage</w:t>
      </w:r>
    </w:p>
    <w:p>
      <w:pPr>
        <w:pStyle w:val="ListParagraph"/>
        <w:numPr>
          <w:ilvl w:val="0"/>
          <w:numId w:val="1"/>
        </w:numPr>
        <w:spacing w:line="200" w:after="120"/>
      </w:pPr>
      <w:r>
        <w:t xml:space="preserve">Valeur ajoutée : biochar comme amendement de sol améliore fertilité, rétention hydrique (agriculture urbaine)</w:t>
      </w:r>
    </w:p>
    <w:r>
      <w:br w:type="page"/>
    </w:r>
    <w:p>
      <w:pPr>
        <w:pStyle w:val="Heading1"/>
        <w:pStyle w:val="Heading1"/>
        <w:spacing w:before="240" w:after="240"/>
      </w:pPr>
      <w:r>
        <w:t xml:space="preserve">5. INTÉGRATION DANS LA FILIÈRE D'ÉCONOMIE CIRCULAIRE</w:t>
      </w:r>
    </w:p>
    <w:p>
      <w:pPr>
        <w:spacing w:line="240" w:after="200"/>
        <w:jc w:val="both"/>
      </w:pPr>
      <w:r>
        <w:t xml:space="preserve">MANO VERDE INC SA conçoit le four à pyrolyse/biomasse non comme un produit isolé, mais comme l'élément central d'une filière complète d'économie circulaire qui crée de la valeur à chaque étape : depuis la collecte des déchets jusqu'à la valorisation du biochar en passant par la fabrication locale et la distribution.</w:t>
      </w:r>
    </w:p>
    <w:p>
      <w:pPr>
        <w:pStyle w:val="Heading2"/>
        <w:pStyle w:val="Heading2"/>
        <w:spacing w:before="200" w:after="120"/>
      </w:pPr>
      <w:r>
        <w:t xml:space="preserve">5.1 Collecte et Gestion des Déchets Organiques</w:t>
      </w:r>
    </w:p>
    <w:p>
      <w:pPr>
        <w:spacing w:line="240" w:after="120"/>
        <w:jc w:val="both"/>
      </w:pPr>
      <w:r>
        <w:t xml:space="preserve">Première maillon de la chaîne : organisation communautaire de la collecte de déchets organiques</w:t>
      </w:r>
    </w:p>
    <w:p>
      <w:pPr>
        <w:pStyle w:val="ListParagraph"/>
        <w:numPr>
          <w:ilvl w:val="0"/>
          <w:numId w:val="1"/>
        </w:numPr>
        <w:spacing w:line="200"/>
      </w:pPr>
      <w:r>
        <w:t xml:space="preserve">Modèle collecte décentralisée : réseaux de ramassage à l'échelle quartier ou village</w:t>
      </w:r>
    </w:p>
    <w:p>
      <w:pPr>
        <w:pStyle w:val="ListParagraph"/>
        <w:numPr>
          <w:ilvl w:val="0"/>
          <w:numId w:val="1"/>
        </w:numPr>
        <w:spacing w:line="200"/>
      </w:pPr>
      <w:r>
        <w:t xml:space="preserve">Acteurs : femmes et jeunes organisés en associations, rémunérés pour collecte</w:t>
      </w:r>
    </w:p>
    <w:p>
      <w:pPr>
        <w:pStyle w:val="ListParagraph"/>
        <w:numPr>
          <w:ilvl w:val="0"/>
          <w:numId w:val="1"/>
        </w:numPr>
        <w:spacing w:line="200" w:after="120"/>
      </w:pPr>
      <w:r>
        <w:t xml:space="preserve">Matières : résidus alimentaires, pailles agricoles, feuilles mortes, papiers non traités</w:t>
      </w:r>
    </w:p>
    <w:p>
      <w:pPr>
        <w:pStyle w:val="Heading2"/>
        <w:pStyle w:val="Heading2"/>
        <w:spacing w:before="200" w:after="120"/>
      </w:pPr>
      <w:r>
        <w:t xml:space="preserve">5.2 Fabrication Locale et Création d'Emplois</w:t>
      </w:r>
    </w:p>
    <w:p>
      <w:pPr>
        <w:spacing w:line="240" w:after="120"/>
        <w:jc w:val="both"/>
      </w:pPr>
      <w:r>
        <w:t xml:space="preserve">Deuxième maillon : développement d'ateliers de fabrication local créant emplois qualifiés et semi-qualifiés</w:t>
      </w:r>
    </w:p>
    <w:p>
      <w:pPr>
        <w:spacing w:after="80"/>
      </w:pPr>
      <w:r>
        <w:t xml:space="preserve">Ateliers métallurgiques semi-industriels (version métal) :</w:t>
      </w:r>
    </w:p>
    <w:p>
      <w:pPr>
        <w:pStyle w:val="ListParagraph"/>
        <w:numPr>
          <w:ilvl w:val="0"/>
          <w:numId w:val="1"/>
        </w:numPr>
        <w:spacing w:line="200"/>
      </w:pPr>
      <w:r>
        <w:t xml:space="preserve">Emplois créés : soudeurs qualifiés, découpeurs acier, assembleurs, agents contrôle qualité</w:t>
      </w:r>
    </w:p>
    <w:p>
      <w:pPr>
        <w:pStyle w:val="ListParagraph"/>
        <w:numPr>
          <w:ilvl w:val="0"/>
          <w:numId w:val="1"/>
        </w:numPr>
        <w:spacing w:line="200"/>
      </w:pPr>
      <w:r>
        <w:t xml:space="preserve">Salaires : 80,000-150,000 FCFA/mois (soudeur) vs 40,000-60,000 FCFA/mois (minimum vital)</w:t>
      </w:r>
    </w:p>
    <w:p>
      <w:pPr>
        <w:pStyle w:val="ListParagraph"/>
        <w:numPr>
          <w:ilvl w:val="0"/>
          <w:numId w:val="1"/>
        </w:numPr>
        <w:spacing w:line="200" w:after="120"/>
      </w:pPr>
      <w:r>
        <w:t xml:space="preserve">Formation : MANO VERDE fournit formation technique (6-8 semaines) pour compétences manquantes</w:t>
      </w:r>
    </w:p>
    <w:p>
      <w:pPr>
        <w:spacing w:after="80"/>
      </w:pPr>
      <w:r>
        <w:t xml:space="preserve">Collectifs artisanaux potiers (version hybride) :</w:t>
      </w:r>
    </w:p>
    <w:p>
      <w:pPr>
        <w:pStyle w:val="ListParagraph"/>
        <w:numPr>
          <w:ilvl w:val="0"/>
          <w:numId w:val="1"/>
        </w:numPr>
        <w:spacing w:line="200"/>
      </w:pPr>
      <w:r>
        <w:t xml:space="preserve">Mobilisation compétences existantes : valorisation artisans potiers traditionnels</w:t>
      </w:r>
    </w:p>
    <w:p>
      <w:pPr>
        <w:pStyle w:val="ListParagraph"/>
        <w:numPr>
          <w:ilvl w:val="0"/>
          <w:numId w:val="1"/>
        </w:numPr>
        <w:spacing w:line="200"/>
      </w:pPr>
      <w:r>
        <w:t xml:space="preserve">Revenus additionnels : 15,000-30,000 FCFA par four (vs absence revenus actuels)</w:t>
      </w:r>
    </w:p>
    <w:p>
      <w:pPr>
        <w:pStyle w:val="ListParagraph"/>
        <w:numPr>
          <w:ilvl w:val="0"/>
          <w:numId w:val="1"/>
        </w:numPr>
        <w:spacing w:line="200" w:after="120"/>
      </w:pPr>
      <w:r>
        <w:t xml:space="preserve">Financement initial : MANO VERDE finance noyau métallique, artisans fournissent argile/main-d'œuvre</w:t>
      </w:r>
    </w:p>
    <w:p>
      <w:pPr>
        <w:pStyle w:val="Heading2"/>
        <w:pStyle w:val="Heading2"/>
        <w:spacing w:before="200" w:after="120"/>
      </w:pPr>
      <w:r>
        <w:t xml:space="preserve">5.3 Distribution et Réseau Commercial</w:t>
      </w:r>
    </w:p>
    <w:p>
      <w:pPr>
        <w:spacing w:line="240" w:after="120"/>
        <w:jc w:val="both"/>
      </w:pPr>
      <w:r>
        <w:t xml:space="preserve">Troisième maillon : mise en place d'un réseau de distribution ciblant ménages ruraux et péri-urbains</w:t>
      </w:r>
    </w:p>
    <w:p>
      <w:pPr>
        <w:spacing w:after="80"/>
      </w:pPr>
      <w:r>
        <w:t xml:space="preserve">Canaux de distribution :</w:t>
      </w:r>
    </w:p>
    <w:p>
      <w:pPr>
        <w:pStyle w:val="ListParagraph"/>
        <w:numPr>
          <w:ilvl w:val="0"/>
          <w:numId w:val="1"/>
        </w:numPr>
        <w:spacing w:line="200"/>
      </w:pPr>
      <w:r>
        <w:t xml:space="preserve">Partenariats ONG : organisations de développement local pour identification et sensibilisation bénéficiaires</w:t>
      </w:r>
    </w:p>
    <w:p>
      <w:pPr>
        <w:pStyle w:val="ListParagraph"/>
        <w:numPr>
          <w:ilvl w:val="0"/>
          <w:numId w:val="1"/>
        </w:numPr>
        <w:spacing w:line="200"/>
      </w:pPr>
      <w:r>
        <w:t xml:space="preserve">Coopératives agricoles et groupements femmes : comme points de vente/conseil</w:t>
      </w:r>
    </w:p>
    <w:p>
      <w:pPr>
        <w:pStyle w:val="ListParagraph"/>
        <w:numPr>
          <w:ilvl w:val="0"/>
          <w:numId w:val="1"/>
        </w:numPr>
        <w:spacing w:line="200"/>
      </w:pPr>
      <w:r>
        <w:t xml:space="preserve">Institutions de microfinance : partenaires pour faciliter paiement échelonné (6-12 mois)</w:t>
      </w:r>
    </w:p>
    <w:p>
      <w:pPr>
        <w:pStyle w:val="ListParagraph"/>
        <w:numPr>
          <w:ilvl w:val="0"/>
          <w:numId w:val="1"/>
        </w:numPr>
        <w:spacing w:line="200" w:after="120"/>
      </w:pPr>
      <w:r>
        <w:t xml:space="preserve">Agents commerciaux itinérants : démonstration et sensibilisation porte-à-porte dans villages</w:t>
      </w:r>
    </w:p>
    <w:p>
      <w:pPr>
        <w:pStyle w:val="Heading2"/>
        <w:pStyle w:val="Heading2"/>
        <w:spacing w:before="200" w:after="120"/>
      </w:pPr>
      <w:r>
        <w:t xml:space="preserve">5.4 Maintenance et Filière Pièces de Rechange</w:t>
      </w:r>
    </w:p>
    <w:p>
      <w:pPr>
        <w:spacing w:line="240" w:after="120"/>
        <w:jc w:val="both"/>
      </w:pPr>
      <w:r>
        <w:t xml:space="preserve">Quatrième maillon : développement écosystème de réparation locale garantissant durée de vie prolongée</w:t>
      </w:r>
    </w:p>
    <w:p>
      <w:pPr>
        <w:pStyle w:val="ListParagraph"/>
        <w:numPr>
          <w:ilvl w:val="0"/>
          <w:numId w:val="1"/>
        </w:numPr>
        <w:spacing w:line="200"/>
      </w:pPr>
      <w:r>
        <w:t xml:space="preserve">Techniciens de maintenance : formation par MANO VERDE de 20-30 techniciens par région</w:t>
      </w:r>
    </w:p>
    <w:p>
      <w:pPr>
        <w:pStyle w:val="ListParagraph"/>
        <w:numPr>
          <w:ilvl w:val="0"/>
          <w:numId w:val="1"/>
        </w:numPr>
        <w:spacing w:line="200"/>
      </w:pPr>
      <w:r>
        <w:t xml:space="preserve">Pièces détachées standardisées : tuyau métallique, grille combustion, clapet air, isolant</w:t>
      </w:r>
    </w:p>
    <w:p>
      <w:pPr>
        <w:pStyle w:val="ListParagraph"/>
        <w:numPr>
          <w:ilvl w:val="0"/>
          <w:numId w:val="1"/>
        </w:numPr>
        <w:spacing w:line="200" w:after="120"/>
      </w:pPr>
      <w:r>
        <w:t xml:space="preserve">Coûts maintenance : 5,000-15,000 FCFA/an (remplacement isolant, soudures)</w:t>
      </w:r>
    </w:p>
    <w:p>
      <w:pPr>
        <w:pStyle w:val="Heading2"/>
        <w:pStyle w:val="Heading2"/>
        <w:spacing w:before="200" w:after="120"/>
      </w:pPr>
      <w:r>
        <w:t xml:space="preserve">5.5 Valorisation du Biochar</w:t>
      </w:r>
    </w:p>
    <w:p>
      <w:pPr>
        <w:spacing w:line="240" w:after="120"/>
        <w:jc w:val="both"/>
      </w:pPr>
      <w:r>
        <w:t xml:space="preserve">Cinquième maillon clé : transformation du biochar (coproduit) en produit agricole valorisé</w:t>
      </w:r>
    </w:p>
    <w:p>
      <w:pPr>
        <w:spacing w:after="80"/>
      </w:pPr>
      <w:r>
        <w:t xml:space="preserve">Applications biochar :</w:t>
      </w:r>
    </w:p>
    <w:p>
      <w:pPr>
        <w:pStyle w:val="ListParagraph"/>
        <w:numPr>
          <w:ilvl w:val="0"/>
          <w:numId w:val="1"/>
        </w:numPr>
        <w:spacing w:line="200"/>
      </w:pPr>
      <w:r>
        <w:t xml:space="preserve">Amendement de sol : amélioration porosité, rétention eau, échange cationique</w:t>
      </w:r>
    </w:p>
    <w:p>
      <w:pPr>
        <w:pStyle w:val="ListParagraph"/>
        <w:numPr>
          <w:ilvl w:val="0"/>
          <w:numId w:val="1"/>
        </w:numPr>
        <w:spacing w:line="200"/>
      </w:pPr>
      <w:r>
        <w:t xml:space="preserve">Agriculture urbaine : planteuses urbaines produisant légumes (réduction malnutrition, revenus complémentaires)</w:t>
      </w:r>
    </w:p>
    <w:p>
      <w:pPr>
        <w:pStyle w:val="ListParagraph"/>
        <w:numPr>
          <w:ilvl w:val="0"/>
          <w:numId w:val="1"/>
        </w:numPr>
        <w:spacing w:line="200"/>
      </w:pPr>
      <w:r>
        <w:t xml:space="preserve">Valeur commerciale : 200-500 FCFA/kg (biochar de qualité pour marché horticole)</w:t>
      </w:r>
    </w:p>
    <w:p>
      <w:pPr>
        <w:pStyle w:val="ListParagraph"/>
        <w:numPr>
          <w:ilvl w:val="0"/>
          <w:numId w:val="1"/>
        </w:numPr>
        <w:spacing w:line="200" w:after="120"/>
      </w:pPr>
      <w:r>
        <w:t xml:space="preserve">Revenu ménage annuel de biochar : 10,000-25,000 FCFA (50-100 kg/an à 200-500 FCFA/kg)</w:t>
      </w:r>
    </w:p>
    <w:p>
      <w:pPr>
        <w:pStyle w:val="Heading2"/>
        <w:pStyle w:val="Heading2"/>
        <w:spacing w:before="200" w:after="120"/>
      </w:pPr>
      <w:r>
        <w:t xml:space="preserve">5.6 Crédits Carbone et Financement</w:t>
      </w:r>
    </w:p>
    <w:p>
      <w:pPr>
        <w:spacing w:line="240" w:after="120"/>
        <w:jc w:val="both"/>
      </w:pPr>
      <w:r>
        <w:t xml:space="preserve">Sixième maillon : monétisation de bénéfices climatiques générés par la filière</w:t>
      </w:r>
    </w:p>
    <w:p>
      <w:pPr>
        <w:spacing w:after="80"/>
      </w:pPr>
      <w:r>
        <w:t xml:space="preserve">Certification de crédits carbone :</w:t>
      </w:r>
    </w:p>
    <w:p>
      <w:pPr>
        <w:pStyle w:val="ListParagraph"/>
        <w:numPr>
          <w:ilvl w:val="0"/>
          <w:numId w:val="1"/>
        </w:numPr>
        <w:spacing w:line="200"/>
      </w:pPr>
      <w:r>
        <w:t xml:space="preserve">Standard Gold Standard ou Verra VCS (projets énergétique domestique)</w:t>
      </w:r>
    </w:p>
    <w:p>
      <w:pPr>
        <w:pStyle w:val="ListParagraph"/>
        <w:numPr>
          <w:ilvl w:val="0"/>
          <w:numId w:val="1"/>
        </w:numPr>
        <w:spacing w:line="200"/>
      </w:pPr>
      <w:r>
        <w:t xml:space="preserve">Quantification réductions : 2-4 tCO₂e évitées par four/an (combustion efficient + séquestration biochar)</w:t>
      </w:r>
    </w:p>
    <w:p>
      <w:pPr>
        <w:pStyle w:val="ListParagraph"/>
        <w:numPr>
          <w:ilvl w:val="0"/>
          <w:numId w:val="1"/>
        </w:numPr>
        <w:spacing w:line="200" w:after="120"/>
      </w:pPr>
      <w:r>
        <w:t xml:space="preserve">Valeur marché : 10-20 USD/tCO₂e → 20,000-80,000 FCFA/four/an potentiel revenu carbone</w:t>
      </w:r>
    </w:p>
    <w:p>
      <w:pPr>
        <w:pStyle w:val="Heading2"/>
        <w:pStyle w:val="Heading2"/>
        <w:spacing w:before="200" w:after="120"/>
      </w:pPr>
      <w:r>
        <w:t xml:space="preserve">5.7 Diagramme Chaîne de Valeur Circulaire</w:t>
      </w:r>
    </w:p>
    <w:p>
      <w:pPr>
        <w:spacing w:line="240" w:after="120"/>
        <w:jc w:val="both"/>
      </w:pPr>
      <w:r>
        <w:t xml:space="preserve">Ci-dessous la représentation textuelle de la chaîne circulaire complète :</w:t>
      </w:r>
    </w:p>
    <w:p>
      <w:pPr>
        <w:spacing w:after="100"/>
      </w:pPr>
      <w:r>
        <w:t xml:space="preserve">DÉCHETS ORGANIQUES DOMESTIQUES (résidus alimentaires, pailles, feuilles)</w:t>
      </w:r>
    </w:p>
    <w:p>
      <w:pPr>
        <w:spacing w:after="100"/>
      </w:pPr>
      <w:r>
        <w:t xml:space="preserve">↓ [Collecte communautaire - emplois collecteurs]</w:t>
      </w:r>
    </w:p>
    <w:p>
      <w:pPr>
        <w:spacing w:after="100"/>
      </w:pPr>
      <w:r>
        <w:t xml:space="preserve">FOUR À PYROLYSE/BIOMASSE (fabrication locale - ateliers + artisans)</w:t>
      </w:r>
    </w:p>
    <w:p>
      <w:pPr>
        <w:spacing w:after="100"/>
      </w:pPr>
      <w:r>
        <w:t xml:space="preserve">↓ [Distribution coopératives + ONG - agents commerciaux]</w:t>
      </w:r>
    </w:p>
    <w:p>
      <w:pPr>
        <w:spacing w:after="100"/>
      </w:pPr>
      <w:r>
        <w:t xml:space="preserve">MÉNAGES UTILISATEURS (réduction 70% consommation, émissions réduites)</w:t>
      </w:r>
    </w:p>
    <w:p>
      <w:pPr>
        <w:spacing w:after="100"/>
      </w:pPr>
      <w:r>
        <w:t xml:space="preserve">↓ [Traitement déchets + cuisson simultanée]</w:t>
      </w:r>
    </w:p>
    <w:p>
      <w:pPr>
        <w:spacing w:after="100"/>
      </w:pPr>
      <w:r>
        <w:t xml:space="preserve">BIOCHAR (coproduit valorisé)</w:t>
      </w:r>
    </w:p>
    <w:p>
      <w:pPr>
        <w:spacing w:after="100"/>
      </w:pPr>
      <w:r>
        <w:t xml:space="preserve">↓ [Agriculture urbaine, amendement sols, séquestration carbone]</w:t>
      </w:r>
    </w:p>
    <w:p>
      <w:pPr>
        <w:spacing w:after="240"/>
      </w:pPr>
      <w:r>
        <w:t xml:space="preserve">REVENU SUPPLÉMENTAIRE MÉNAGES + CRÉDITS CARBONE CERTIFIÉS</w:t>
      </w:r>
    </w:p>
    <w:r>
      <w:br w:type="page"/>
    </w:r>
    <w:p>
      <w:pPr>
        <w:pStyle w:val="Heading1"/>
        <w:pStyle w:val="Heading1"/>
        <w:spacing w:before="240" w:after="240"/>
      </w:pPr>
      <w:r>
        <w:t xml:space="preserve">6. ALIGNEMENT STRATÉGIQUE</w:t>
      </w:r>
    </w:p>
    <w:p>
      <w:pPr>
        <w:spacing w:line="240" w:after="200"/>
        <w:jc w:val="both"/>
      </w:pPr>
      <w:r>
        <w:t xml:space="preserve">Le programme de quatre à pyrolyse/biomasse de MANO VERDE INC SA s'inscrit dans un cadre stratégique international et national qui légitime son importance critique. L'alignement multidimensionnel avec objectifs de développement, d'atténuation climatique et de gouvernance africaine démontre la pertinence systémique de ce produit.</w:t>
      </w:r>
    </w:p>
    <w:p>
      <w:pPr>
        <w:pStyle w:val="Heading2"/>
        <w:pStyle w:val="Heading2"/>
        <w:spacing w:before="200" w:after="120"/>
      </w:pPr>
      <w:r>
        <w:t xml:space="preserve">6.1 Contributions Déterminées au Niveau National (NDC) du Cameroun</w:t>
      </w:r>
    </w:p>
    <w:p>
      <w:pPr>
        <w:spacing w:line="240" w:after="120"/>
        <w:jc w:val="both"/>
      </w:pPr>
      <w:r>
        <w:t xml:space="preserve">La République du Cameroun s'est engagée auprès de la CCNUCC à une réduction inconditionnelle de ses émissions de GES de 35% d'ici 2030, basée sur le scénario BAU (Business As Usual) 2010.</w:t>
      </w:r>
    </w:p>
    <w:p>
      <w:pPr>
        <w:spacing w:after="80"/>
      </w:pPr>
      <w:r>
        <w:t xml:space="preserve">Contributions du four à pyrolyse/biomasse :</w:t>
      </w:r>
    </w:p>
    <w:p>
      <w:pPr>
        <w:pStyle w:val="ListParagraph"/>
        <w:numPr>
          <w:ilvl w:val="0"/>
          <w:numId w:val="1"/>
        </w:numPr>
        <w:spacing w:line="200"/>
      </w:pPr>
      <w:r>
        <w:t xml:space="preserve">Réductions directes : déploiement 500,000 fours évite ~2 millions tCO₂e/an (vs charbon traditionnel)</w:t>
      </w:r>
    </w:p>
    <w:p>
      <w:pPr>
        <w:pStyle w:val="ListParagraph"/>
        <w:numPr>
          <w:ilvl w:val="0"/>
          <w:numId w:val="1"/>
        </w:numPr>
        <w:spacing w:line="200"/>
      </w:pPr>
      <w:r>
        <w:t xml:space="preserve">Réductions indirectes : pression déforestière réduite → régénération forestière naturelle</w:t>
      </w:r>
    </w:p>
    <w:p>
      <w:pPr>
        <w:pStyle w:val="ListParagraph"/>
        <w:numPr>
          <w:ilvl w:val="0"/>
          <w:numId w:val="1"/>
        </w:numPr>
        <w:spacing w:line="200" w:after="120"/>
      </w:pPr>
      <w:r>
        <w:t xml:space="preserve">Séquestration carbone : biochar incorporé sols sequestr 50+ ans (~1 tC/four/an)</w:t>
      </w:r>
    </w:p>
    <w:p>
      <w:pPr>
        <w:pStyle w:val="Heading2"/>
        <w:pStyle w:val="Heading2"/>
        <w:spacing w:before="200" w:after="120"/>
      </w:pPr>
      <w:r>
        <w:t xml:space="preserve">6.2 Objectifs de Développement Durable (ODD) des Nations Unies</w:t>
      </w:r>
    </w:p>
    <w:p>
      <w:pPr>
        <w:spacing w:line="240" w:after="120"/>
        <w:jc w:val="both"/>
      </w:pPr>
      <w:r>
        <w:t xml:space="preserve">Le produit contribue directement à 5 des 17 ODD :</w:t>
      </w:r>
    </w:p>
    <w:p>
      <w:pPr>
        <w:pStyle w:val="ListParagraph"/>
        <w:numPr>
          <w:ilvl w:val="0"/>
          <w:numId w:val="1"/>
        </w:numPr>
        <w:spacing w:line="200"/>
      </w:pPr>
      <w:r>
        <w:t xml:space="preserve">ODD 7 – Énergie propre et fiable : accès à cuisson sûre et efficace pour 70% ménages camerounais dépourvus électricité</w:t>
      </w:r>
    </w:p>
    <w:p>
      <w:pPr>
        <w:pStyle w:val="ListParagraph"/>
        <w:numPr>
          <w:ilvl w:val="0"/>
          <w:numId w:val="1"/>
        </w:numPr>
        <w:spacing w:line="200"/>
      </w:pPr>
      <w:r>
        <w:t xml:space="preserve">ODD 13 – Mesures contre le changement climatique : atténuation GES via réduction consommation combustible</w:t>
      </w:r>
    </w:p>
    <w:p>
      <w:pPr>
        <w:pStyle w:val="ListParagraph"/>
        <w:numPr>
          <w:ilvl w:val="0"/>
          <w:numId w:val="1"/>
        </w:numPr>
        <w:spacing w:line="200"/>
      </w:pPr>
      <w:r>
        <w:t xml:space="preserve">ODD 1 – Pas de pauvreté : réduction charges énergétiques + revenus additionnels (biochar, services maintenance)</w:t>
      </w:r>
    </w:p>
    <w:p>
      <w:pPr>
        <w:pStyle w:val="ListParagraph"/>
        <w:numPr>
          <w:ilvl w:val="0"/>
          <w:numId w:val="1"/>
        </w:numPr>
        <w:spacing w:line="200"/>
      </w:pPr>
      <w:r>
        <w:t xml:space="preserve">ODD 3 – Santé et bien-être : réduction pollution intérieur enregistrant 4M décès/an mondialement</w:t>
      </w:r>
    </w:p>
    <w:p>
      <w:pPr>
        <w:pStyle w:val="ListParagraph"/>
        <w:numPr>
          <w:ilvl w:val="0"/>
          <w:numId w:val="1"/>
        </w:numPr>
        <w:spacing w:line="200" w:after="120"/>
      </w:pPr>
      <w:r>
        <w:t xml:space="preserve">ODD 5 – Égalité des genres : empowerment femmes via emplois collecte déchets, agriculture biochar, maintenance</w:t>
      </w:r>
    </w:p>
    <w:p>
      <w:pPr>
        <w:pStyle w:val="Heading2"/>
        <w:pStyle w:val="Heading2"/>
        <w:spacing w:before="200" w:after="120"/>
      </w:pPr>
      <w:r>
        <w:t xml:space="preserve">6.3 Agenda 2063 de l'Union Africaine</w:t>
      </w:r>
    </w:p>
    <w:p>
      <w:pPr>
        <w:spacing w:line="240" w:after="120"/>
        <w:jc w:val="both"/>
      </w:pPr>
      <w:r>
        <w:t xml:space="preserve">Le plan stratégique d'intégration africaine l'Agenda 2063 promeut l'innovation continentale en matière d'énergie durable et de transition écologique.</w:t>
      </w:r>
    </w:p>
    <w:p>
      <w:pPr>
        <w:spacing w:after="80"/>
      </w:pPr>
      <w:r>
        <w:t xml:space="preserve">Alignements clés :</w:t>
      </w:r>
    </w:p>
    <w:p>
      <w:pPr>
        <w:pStyle w:val="ListParagraph"/>
        <w:numPr>
          <w:ilvl w:val="0"/>
          <w:numId w:val="1"/>
        </w:numPr>
        <w:spacing w:line="200"/>
      </w:pPr>
      <w:r>
        <w:t xml:space="preserve">Innovation africaine : produit développé par PME camerounaise, valorisant savoir-faire local (soudure, poterie)</w:t>
      </w:r>
    </w:p>
    <w:p>
      <w:pPr>
        <w:pStyle w:val="ListParagraph"/>
        <w:numPr>
          <w:ilvl w:val="0"/>
          <w:numId w:val="1"/>
        </w:numPr>
        <w:spacing w:line="200"/>
      </w:pPr>
      <w:r>
        <w:t xml:space="preserve">Transformation industrielle : création filières manufactures locales compétitives (ateliers, maintenance)</w:t>
      </w:r>
    </w:p>
    <w:p>
      <w:pPr>
        <w:pStyle w:val="ListParagraph"/>
        <w:numPr>
          <w:ilvl w:val="0"/>
          <w:numId w:val="1"/>
        </w:numPr>
        <w:spacing w:line="200" w:after="120"/>
      </w:pPr>
      <w:r>
        <w:t xml:space="preserve">Économie circulaire africaine : modèle inspirant déploiement dans ensemble région CEMAC</w:t>
      </w:r>
    </w:p>
    <w:p>
      <w:pPr>
        <w:pStyle w:val="Heading2"/>
        <w:pStyle w:val="Heading2"/>
        <w:spacing w:before="200" w:after="120"/>
      </w:pPr>
      <w:r>
        <w:t xml:space="preserve">6.4 Accord de Paris et Engagement International</w:t>
      </w:r>
    </w:p>
    <w:p>
      <w:pPr>
        <w:spacing w:line="240" w:after="120"/>
        <w:jc w:val="both"/>
      </w:pPr>
      <w:r>
        <w:t xml:space="preserve">Sous l'égide de la CCNUCC, la République du Cameroun s'engage respecter les articles de l'Accord de Paris pour limiter réchauffement +1.5°C/+2.0°C.</w:t>
      </w:r>
    </w:p>
    <w:p>
      <w:pPr>
        <w:spacing w:after="80"/>
      </w:pPr>
      <w:r>
        <w:t xml:space="preserve">Rôle du four à pyrolyse :</w:t>
      </w:r>
    </w:p>
    <w:p>
      <w:pPr>
        <w:pStyle w:val="ListParagraph"/>
        <w:numPr>
          <w:ilvl w:val="0"/>
          <w:numId w:val="1"/>
        </w:numPr>
        <w:spacing w:line="200"/>
      </w:pPr>
      <w:r>
        <w:t xml:space="preserve">Mitigation mensurable : réductions GES certifiées, traçables, monitorables (Gold Standard/VCS)</w:t>
      </w:r>
    </w:p>
    <w:p>
      <w:pPr>
        <w:pStyle w:val="ListParagraph"/>
        <w:numPr>
          <w:ilvl w:val="0"/>
          <w:numId w:val="1"/>
        </w:numPr>
        <w:spacing w:line="200"/>
      </w:pPr>
      <w:r>
        <w:t xml:space="preserve">Adaptation climatique : résilience ménages à travers diversification revenus (biochar, services)</w:t>
      </w:r>
    </w:p>
    <w:p>
      <w:pPr>
        <w:pStyle w:val="ListParagraph"/>
        <w:numPr>
          <w:ilvl w:val="0"/>
          <w:numId w:val="1"/>
        </w:numPr>
        <w:spacing w:line="200" w:after="240"/>
      </w:pPr>
      <w:r>
        <w:t xml:space="preserve">Financement climat : éligibilité crédits carbone pour lever capitaux investissement impact</w:t>
      </w:r>
    </w:p>
    <w:p>
      <w:pPr>
        <w:spacing w:line="240"/>
      </w:pPr>
    </w:p>
    <w:p>
      <w:pPr>
        <w:spacing w:before="200" w:after="200"/>
        <w:jc w:val="center"/>
      </w:pPr>
      <w:r>
        <w:t xml:space="preserve">---</w:t>
      </w:r>
    </w:p>
    <w:p>
      <w:pPr>
        <w:spacing w:before="200"/>
        <w:jc w:val="center"/>
      </w:pPr>
      <w:r>
        <w:t xml:space="preserve">Document préparé par MANO VERDE INC SA</w:t>
      </w:r>
    </w:p>
    <w:p>
      <w:pPr>
        <w:spacing w:after="200"/>
        <w:jc w:val="center"/>
      </w:pPr>
      <w:r>
        <w:t xml:space="preserve">Société Anonyme de droit OHADA, République du Cameroun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2026-02-13T11:54:24.292Z</dcterms:created>
  <dcterms:modified xsi:type="dcterms:W3CDTF">2026-02-13T11:54:24.293Z</dcterms:modified>
</cp:coreProperties>
</file>

<file path=docProps/custom.xml><?xml version="1.0" encoding="utf-8"?>
<Properties xmlns="http://schemas.openxmlformats.org/officeDocument/2006/custom-properties" xmlns:vt="http://schemas.openxmlformats.org/officeDocument/2006/docPropsVTypes"/>
</file>