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  <w:jc w:val="center"/>
      </w:pPr>
      <w:r>
        <w:rPr>
          <w:rFonts w:ascii="Arial" w:cs="Arial" w:eastAsia="Arial" w:hAnsi="Arial"/>
          <w:b/>
          <w:bCs/>
          <w:color w:val="880E4F"/>
          <w:sz w:val="36"/>
          <w:szCs w:val="36"/>
        </w:rPr>
        <w:t xml:space="preserve">MANO VERDE INC SA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AD1457"/>
          <w:sz w:val="36"/>
          <w:szCs w:val="36"/>
        </w:rPr>
        <w:t xml:space="preserve">CATALOGUE COMPLET</w:t>
      </w:r>
    </w:p>
    <w:p>
      <w:pPr>
        <w:jc w:val="center"/>
      </w:pPr>
      <w:r>
        <w:rPr>
          <w:rFonts w:ascii="Arial" w:cs="Arial" w:eastAsia="Arial" w:hAnsi="Arial"/>
          <w:b/>
          <w:bCs/>
          <w:color w:val="AD1457"/>
          <w:sz w:val="36"/>
          <w:szCs w:val="36"/>
        </w:rPr>
        <w:t xml:space="preserve">DES RISQUES ET DES AVANTAGES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Four Domestique à Pyrolyse / Biomasse – Projet Économie Circulaire</w:t>
      </w:r>
    </w:p>
    <w:p>
      <w:pPr>
        <w:spacing w:before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Février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PARTIE I : CATALOGUE DES RISQUES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 catalogue identifie et évalue l'ensemble des risques associés au projet de four domestique à pyrolyse / biomasse de MANO VERDE INC SA. Chaque risque est évalué en termes de probabilité (Faible/Moyen/Élevé), de gravité (Faible/Moyenne/Élevée), d'impact sur le projet et de mesures d'atténuation.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1. RISQUES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513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Défaut étanchéité chambre pyrolyse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Fuite gaz toxiques, inefficacité pyrolyse, risque sanitaire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étanchéité systématique 100% production, double cordon soudure, formation soudeurs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Corrosion prématurée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durée de vie, insatisfaction client, coût garantie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Acier inox pour pièces critiques, peinture haute T°, entretien préventif, version hybride argile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Obstruction tuyau gaz pyrolyse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Perte fonction pyrolyse, baisse rendement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Conception anti-colmatage, goupillon fourni, procédure nettoyage hebdomadaire dans notice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Rendement inférieur aux cibles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Promesses non tenues, crédibilité atteinte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WBT/CCT rigoureux avant commercialisation, R&amp;D continue, retour terrain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Surchauffe / déformation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Risque brûlure, panne, remplacement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Isolation thermique dimensionnée, choix acier adapté, tests endurance, limites utilisation claires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Variabilité qualité argile (version hybride)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Fissures, non-étanchéité, durée vie réduite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Caractérisation argile locale, protocole standardisé, contrôle qualité matière première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2. RISQUES SANITAIRES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513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Brûlures utilisateurs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Blessures, poursuites, image négative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Isolation ext &lt;80°C, gants fournis, poignées isolées, avertissements notice, formation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Inhalation gaz pyrolyse en cas de fuite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Intoxication CO, problèmes respiratoires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Étanchéité garantie, utilisation extérieur/ventilé obligatoire, cheminée, détection fuite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Mise de plastique dans pyrolyse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Émissions dioxines/furanes, contamination biochar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utilisateurs intensive, pictogrammes interdiction, messages clés répétés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Incendie domestique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Dégâts matériels, blessures, décès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Consignes installation (1m murs), sol non inflammable, stabilité testée, extincteur recommandé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Biochar contaminé utilisé en agriculture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Contamination sols, risque sanitaire alimentaire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sur déchets acceptés uniquement, analyse biochar périodique, normes IBI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3. RISQUES ENVIRONNEMENTAUX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513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Effet rebond : augmentation consommation bois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Annulation gains environnementaux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Suivi consommation réelle, sensibilisation continue, indicateurs MRV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Pollution liée fabrication (ateliers)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Fumées soudure, déchets métalliques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Extracteurs fumée, gestion déchets atelier, EPI, conformité réglementation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Non-atteinte des réductions CO2 projetées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Crédits carbone non certifiés, perte revenus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Méthodologie MRV rigoureuse, études terrain, facteurs de correction conservateurs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4. RISQUES SOCIAUX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513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Résistance au changement culturel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 adoption, échec commercial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Approche participative, démonstrations, ambassadeurs locaux, leaders communautaires, témoignages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Exclusion des ménages les plus pauvres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Inégalité, critique sociale, non-atteinte ODD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Subventions ciblées, microfinance, paiement échelonné, version hybride moins chère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Conflits dans la chaîne de distribution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Ruptures approvisionnement, insatisfaction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Contrats clairs, formation distributeurs, système de médiation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Exploitation main-d'œuvre ateliers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Réputation, conformité, sanctions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conduite fournisseurs, audits sociaux, salaire minimum garanti, EPI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 négatif sur producteurs de charbon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Opposition, tensions sociales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Reconversion professionnelle vers fabrication fours, période transition, dialogue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5. RISQUES FINANCIERS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2513"/>
        <w:gridCol w:w="2513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Risque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Gravité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B71C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Atténuation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Hausse prix matières premières (acier)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Érosion marges, hausse prix de vente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Contrats cadre, stocks stratégiques, diversification fournisseurs, version hybride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Retard ou échec levée de fonds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Retard déploiement, risque de liquidité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Diversification sources (BAD, GEF, privé, carbone), démarrage avec moyens propres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Non-viabilité économique du modèle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Faible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Élevée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Faillite, perte investissements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Étude marché rigoureuse, pilote avant passage à l'échelle, ajustement prix/coûts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Volatilité prix du carbone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Revenus carbone inférieurs aux projections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Projections conservatrices, diversification revenus, contrats forward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Défaut de paiement clients/distributeurs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Trésorerie, pertes financières</w:t>
            </w:r>
          </w:p>
        </w:tc>
        <w:tc>
          <w:tcPr>
            <w:tcW w:type="dxa" w:w="25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Paiement comptant ou microfinance, pas de crédit direct, assurance-crédit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880E4F"/>
          <w:sz w:val="32"/>
          <w:szCs w:val="32"/>
        </w:rPr>
        <w:t xml:space="preserve">PARTIE II : CATALOGUE DES AVANTAGES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Ce catalogue présente l'ensemble des avantages et bénéfices associés au projet, avec des indicateurs quantitatifs et des projections à 5 ans (objectif 500 000 fours déployés).</w:t>
      </w:r>
    </w:p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1. AVANTAGES TECHNIQUES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quantitatif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Source/Référence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Rendement thermique élevé (&gt;40%)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à 4 fois supérieur au foyer 3 pierres (10-15%)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WBT internes, ISO 19867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consommation combustible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à 70% de bois/charbon en moins par ménage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CCT, données terrain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Fonction pyrolyse intégrée unique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kg déchets traités par session, 200-400g biochar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laboratoire, brevet OAPI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Recyclage des gaz de pyrolyse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Augmentation rendement global de 10-15 points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Mesures de flux, bilan énergétique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Durabilité et modularité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3-5 ans métal, 2-3 ans hybride, pièces remplaçables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endurance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Double version (métal + hybride)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Adaptabilité: industriel + artisanal, urbain + rural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Cahier des charges technique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2. AVANTAGES ÉCONOMIQUES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quantitatif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 5 ans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Économie combustible par ménage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180 000 à 252 000 FCFA/an par ménage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 à 126 milliards FCFA économisés/an (500k fours)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Retour sur investissement rapide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ROI ménage: 2-4 mois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Adoption facilitée par rentabilité immédiate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Création d'emplois directs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emplois par atelier (50 ateliers)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10 000 emplois directs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Création d'emplois indirects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Distribution, maintenance, collecte déchets, biochar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30 000 emplois indirects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Revenus crédits carbone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tCO2e/four/an à 8-15 USD/t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à 15 milliards FCFA/an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Valeur biochar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200-500 FCFA/kg, 200-400g/session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10-20 milliards FCFA potentiel/an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Industrie locale à contenu africain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&gt;80% contenu local (matériaux + main d'œuvre)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importations, balance commerciale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3. AVANTAGES SOCIAUX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quantitatif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 5 ans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Amélioration santé (réduction pollution intérieure)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&gt;70% réduction PM2.5 et CO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Milliers de cas d'IRA évités, réduction mortalité infantile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corvée bois (femmes et enfants)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50-70% moins de bois à collecter/acheter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Libération temps femmes pour activités productives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Autonomisation économique des femmes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des emplois distribution ciblés femmes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6 000+ emplois féminins directs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Emplois jeunes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 des emplois fabrication ciblés jeunes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7 000+ emplois jeunes directs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Sécurité alimentaire (biochar agricole)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+20-30% rendements avec biochar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Amélioration nutrition 3M de personnes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Éducation (cantines scolaires propres)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absentéisme, meilleur environnement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100 000+ enfants dans écoles équipées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4. AVANTAGES ENVIRONNEMENTAUX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quantitatif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Projection 5 ans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émissions GES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tCO2e évitées par four/an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à 2 millions tCO2e évitées/an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Préservation forêts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tonnes de bois épargnées par four/an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1 000 000 tonnes bois/an = 10 000+ ha forêt préservés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Réduction pollution atmosphérique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&gt;60% CO, &gt;70% PM2.5 par four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Amélioration significative qualité air zones déploiement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Valorisation déchets organiques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kg déchets/session/four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100 000+ tonnes déchets valorisés/an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Séquestration carbone (biochar)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Carbone stable &gt;100 ans dans sol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50 000-100 000 t biochar = séquestration long terme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NDC Cameroun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à l'objectif -35% émissions 2030</w:t>
            </w:r>
          </w:p>
        </w:tc>
        <w:tc>
          <w:tcPr>
            <w:tcW w:type="dxa" w:w="30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majeure au secteur énergie domestique</w:t>
            </w:r>
          </w:p>
        </w:tc>
      </w:tr>
    </w:tbl>
    <w:p>
      <w:r>
        <w:br w:type="page"/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AD1457"/>
          <w:sz w:val="26"/>
          <w:szCs w:val="26"/>
        </w:rPr>
        <w:t xml:space="preserve">5. AVANTAGES INSTITUTIONNELS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Avantage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Alignement ODD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Contribution directe à 7 ODD : 1 (pauvreté), 2 (faim), 3 (santé), 5 (genre), 7 (énergie), 12 (consommation responsable), 13 (climat)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Modèle réplicable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Technologie et modèle organisationnel transférables aux 17 pays OAPI et au-delà (Afrique subsaharienne)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Attractivité financements internationaux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 éligible BAD, Banque Mondiale, FEM/GEF, Fonds Vert Climat, bilatéraux (AFD, GIZ, USAID)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Leadership climatique Cameroun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Positionnement du Cameroun comme pionnier de l'économie circulaire et de la cuisson propre en Afrique Centrale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Propriété intellectuelle protégée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Brevet OAPI couvrant 17 États, avantage compétitif durable, valeur actif incorporel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Partenariats public-privé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Modèle PPP démontrable et reproductible pour l'énergie domestique en Afrique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© 2026 MANO VERDE INC SA – Tous droits réservés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880E4F"/>
        <w:sz w:val="16"/>
        <w:szCs w:val="16"/>
      </w:rPr>
      <w:t xml:space="preserve">MANO VERDE INC SA – Catalogue des Risques et Avantages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880E4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AD14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2026-02-20T11:53:38.811Z</dcterms:created>
  <dcterms:modified xsi:type="dcterms:W3CDTF">2026-02-20T11:53:38.821Z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