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MANO VERDE INC SA</w:t>
      </w:r>
    </w:p>
    <w:p>
      <w:pPr>
        <w:jc w:val="center"/>
      </w:pPr>
      <w:r>
        <w:rPr>
          <w:sz w:val="24"/>
        </w:rPr>
        <w:t>Projet Foncier Social TERRASOCIAL</w:t>
      </w:r>
    </w:p>
    <w:p>
      <w:pPr>
        <w:jc w:val="center"/>
      </w:pPr>
      <w:r>
        <w:rPr>
          <w:b/>
          <w:sz w:val="24"/>
        </w:rPr>
        <w:t>NOTE JURIDIQUE</w:t>
      </w:r>
    </w:p>
    <w:p>
      <w:pPr>
        <w:jc w:val="center"/>
      </w:pPr>
      <w:r>
        <w:rPr>
          <w:sz w:val="22"/>
        </w:rPr>
        <w:t>Non-requalification en activité bancaire ou financière</w:t>
      </w:r>
    </w:p>
    <w:p/>
    <w:p>
      <w:pPr>
        <w:pStyle w:val="Heading1"/>
      </w:pPr>
      <w:r>
        <w:t>I. OBJET DE LA NOTE</w:t>
      </w:r>
    </w:p>
    <w:p>
      <w:r>
        <w:t>La présente note juridique vise à démontrer que le modèle économique du projet foncier social TERRASOCIAL, caractérisé par la vente de lots de terrain à paiement échelonné (24-36 mois), ne constitue pas une activité bancaire ou financière soumise à la réglementation de la Commission Bancaire de l'Afrique Centrale (COBAC).</w:t>
      </w:r>
    </w:p>
    <w:p>
      <w:pPr>
        <w:pStyle w:val="Heading1"/>
      </w:pPr>
      <w:r>
        <w:t>II. CADRE RÉGLEMENTAIRE APPLICABLE</w:t>
      </w:r>
    </w:p>
    <w:p>
      <w:pPr>
        <w:pStyle w:val="Heading2"/>
      </w:pPr>
      <w:r>
        <w:t>II.1 Code monétaire CEMAC</w:t>
      </w:r>
    </w:p>
    <w:p>
      <w:r>
        <w:t>Le Code monétaire de la Communauté Économique et Monétaire de l'Afrique Centrale (CEMAC) définit les activités bancaires comme: la collecte de fonds auprès du public, leur gestion et mise à disposition à titre de crédit ou pour compte propre.</w:t>
      </w:r>
    </w:p>
    <w:p>
      <w:pPr>
        <w:pStyle w:val="Heading2"/>
      </w:pPr>
      <w:r>
        <w:t>II.2 Règlement COBAC n°R-2021/01</w:t>
      </w:r>
    </w:p>
    <w:p>
      <w:r>
        <w:t>Ce règlement précise que les opérations de financement doivent être distinguées des simples ventes à crédit. Une vente immobilière à paiement échelonné, sans intermédiation financière, ne relève pas du régime bancaire.</w:t>
      </w:r>
    </w:p>
    <w:p>
      <w:pPr>
        <w:pStyle w:val="Heading2"/>
      </w:pPr>
      <w:r>
        <w:t>II.3 Code civil camerounais</w:t>
      </w:r>
    </w:p>
    <w:p>
      <w:r>
        <w:t>Les contrats de vente de lots doivent respecter les principes de liberté contractuelle, bonne foi et consentement.</w:t>
      </w:r>
    </w:p>
    <w:p>
      <w:pPr>
        <w:pStyle w:val="Heading1"/>
      </w:pPr>
      <w:r>
        <w:t>III. ANALYSE DE LA QUALIFICATION JURIDIQUE</w:t>
      </w:r>
    </w:p>
    <w:p>
      <w:pPr>
        <w:pStyle w:val="Heading2"/>
      </w:pPr>
      <w:r>
        <w:t>III.1 Caractéristiques du modèle TERRASOCIAL</w:t>
      </w:r>
    </w:p>
    <w:p>
      <w:r>
        <w:t>• Objet: Vente directe de lots de terrain</w:t>
        <w:br/>
        <w:t>• Modalités: Paiement échelonné sur 24 à 36 mois</w:t>
        <w:br/>
        <w:t>• Parties: MANO VERDE INC SA (vendeur) et acheteurs (personnes physiques)</w:t>
        <w:br/>
        <w:t>• Absence de collecte de fonds auprès du public</w:t>
      </w:r>
    </w:p>
    <w:p>
      <w:pPr>
        <w:pStyle w:val="Heading2"/>
      </w:pPr>
      <w:r>
        <w:t>III.2 Distinction avec une activité bancaire</w:t>
      </w:r>
    </w:p>
    <w:p>
      <w:r>
        <w:t>La MANO VERDE INC SA ne collecte pas de fonds auprès du public. Elle vend ses propres actifs immobiliers avec financement direct. Il ne s'agit pas d'une intermédiation financière. Les échelonnements de paiement représentent un simple crédit-vendeur, pratique courante dans le secteur immobilier.</w:t>
      </w:r>
    </w:p>
    <w:p>
      <w:pPr>
        <w:pStyle w:val="Heading1"/>
      </w:pPr>
      <w:r>
        <w:t>IV. CONCLUSIONS</w:t>
      </w:r>
    </w:p>
    <w:p>
      <w:r>
        <w:t>Le projet TERRASOCIAL constitue une vente immobilière à paiement échelonné et ne relève pas de la réglementation bancaire COBAC. MANO VERDE INC SA demeure soumise au régime fiscal et juridique applicable aux ventes immobilières, conformément à la législation camerounaise.</w:t>
      </w:r>
    </w:p>
    <w:p>
      <w:r>
        <w:rPr>
          <w:i/>
        </w:rPr>
        <w:t>Note: Ce document est un modèle type destiné à une validation ultérieure par le conseil juridique.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