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MANO VERDE INC SA</w:t>
      </w:r>
    </w:p>
    <w:p>
      <w:pPr>
        <w:jc w:val="center"/>
      </w:pPr>
      <w:r>
        <w:rPr>
          <w:sz w:val="24"/>
        </w:rPr>
        <w:t>Projet Foncier Social TERRASOCIAL</w:t>
      </w:r>
    </w:p>
    <w:p>
      <w:pPr>
        <w:jc w:val="center"/>
      </w:pPr>
      <w:r>
        <w:rPr>
          <w:b/>
          <w:sz w:val="24"/>
        </w:rPr>
        <w:t>TABLEAU D'ANALYSE</w:t>
      </w:r>
    </w:p>
    <w:p>
      <w:pPr>
        <w:jc w:val="center"/>
      </w:pPr>
      <w:r>
        <w:rPr>
          <w:sz w:val="22"/>
        </w:rPr>
        <w:t>Risques juridiques et pénaux</w:t>
      </w:r>
    </w:p>
    <w:p/>
    <w:p>
      <w:pPr>
        <w:pStyle w:val="Heading1"/>
      </w:pPr>
      <w:r>
        <w:t>I. INTRODUCTION</w:t>
      </w:r>
    </w:p>
    <w:p>
      <w:r>
        <w:t>Le présent tableau identifie les principaux risques juridiques et pénaux susceptibles d'affecter le projet TERRASOCIAL et propose des mesures préventives.</w:t>
      </w:r>
    </w:p>
    <w:p>
      <w:pPr>
        <w:pStyle w:val="Heading1"/>
      </w:pPr>
      <w:r>
        <w:t>II. TABLEAU SYNTHÉTIQUE DES RISQUES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RISQUE</w:t>
            </w:r>
          </w:p>
        </w:tc>
        <w:tc>
          <w:tcPr>
            <w:tcW w:type="dxa" w:w="2160"/>
            <w:shd w:fill="D3D3D3"/>
          </w:tcPr>
          <w:p>
            <w:r>
              <w:t>DESCRIPTION</w:t>
            </w:r>
          </w:p>
        </w:tc>
        <w:tc>
          <w:tcPr>
            <w:tcW w:type="dxa" w:w="2160"/>
            <w:shd w:fill="D3D3D3"/>
          </w:tcPr>
          <w:p>
            <w:r>
              <w:t>TEXTE APPLICABLE</w:t>
            </w:r>
          </w:p>
        </w:tc>
        <w:tc>
          <w:tcPr>
            <w:tcW w:type="dxa" w:w="2160"/>
            <w:shd w:fill="D3D3D3"/>
          </w:tcPr>
          <w:p>
            <w:r>
              <w:t>MESURES PRÉVENTIVES</w:t>
            </w:r>
          </w:p>
        </w:tc>
      </w:tr>
      <w:tr>
        <w:tc>
          <w:tcPr>
            <w:tcW w:type="dxa" w:w="2160"/>
          </w:tcPr>
          <w:p>
            <w:r>
              <w:t>Escroquerie foncière</w:t>
            </w:r>
          </w:p>
        </w:tc>
        <w:tc>
          <w:tcPr>
            <w:tcW w:type="dxa" w:w="2160"/>
          </w:tcPr>
          <w:p>
            <w:r>
              <w:t>Vente de lots non régulièrement immatriculés</w:t>
            </w:r>
          </w:p>
        </w:tc>
        <w:tc>
          <w:tcPr>
            <w:tcW w:type="dxa" w:w="2160"/>
          </w:tcPr>
          <w:p>
            <w:r>
              <w:t>Art. 314-316 Code pénal camerounais</w:t>
            </w:r>
          </w:p>
        </w:tc>
        <w:tc>
          <w:tcPr>
            <w:tcW w:type="dxa" w:w="2160"/>
          </w:tcPr>
          <w:p>
            <w:r>
              <w:t>• Immatriculation préalable obligatoire</w:t>
              <w:br/>
              <w:t>• Titre de propriété certifié</w:t>
              <w:br/>
              <w:t>• Audit foncier complet</w:t>
            </w:r>
          </w:p>
        </w:tc>
      </w:tr>
      <w:tr>
        <w:tc>
          <w:tcPr>
            <w:tcW w:type="dxa" w:w="2160"/>
          </w:tcPr>
          <w:p>
            <w:r>
              <w:t>Abus de confiance</w:t>
            </w:r>
          </w:p>
        </w:tc>
        <w:tc>
          <w:tcPr>
            <w:tcW w:type="dxa" w:w="2160"/>
          </w:tcPr>
          <w:p>
            <w:r>
              <w:t>Non-remise de titre de propriété ou rétention indue</w:t>
            </w:r>
          </w:p>
        </w:tc>
        <w:tc>
          <w:tcPr>
            <w:tcW w:type="dxa" w:w="2160"/>
          </w:tcPr>
          <w:p>
            <w:r>
              <w:t>Art. 388-394 Code pénal camerounais</w:t>
            </w:r>
          </w:p>
        </w:tc>
        <w:tc>
          <w:tcPr>
            <w:tcW w:type="dxa" w:w="2160"/>
          </w:tcPr>
          <w:p>
            <w:r>
              <w:t>• Remise immédiate des actes notariés</w:t>
              <w:br/>
              <w:t>• Suivi transparent des dossiers</w:t>
              <w:br/>
              <w:t>• Procédures claires de transfert</w:t>
            </w:r>
          </w:p>
        </w:tc>
      </w:tr>
      <w:tr>
        <w:tc>
          <w:tcPr>
            <w:tcW w:type="dxa" w:w="2160"/>
          </w:tcPr>
          <w:p>
            <w:r>
              <w:t>Contrats invalides</w:t>
            </w:r>
          </w:p>
        </w:tc>
        <w:tc>
          <w:tcPr>
            <w:tcW w:type="dxa" w:w="2160"/>
          </w:tcPr>
          <w:p>
            <w:r>
              <w:t>Contrats non conformes aux exigences légales</w:t>
            </w:r>
          </w:p>
        </w:tc>
        <w:tc>
          <w:tcPr>
            <w:tcW w:type="dxa" w:w="2160"/>
          </w:tcPr>
          <w:p>
            <w:r>
              <w:t>Code civil camerounais et OHADA</w:t>
            </w:r>
          </w:p>
        </w:tc>
        <w:tc>
          <w:tcPr>
            <w:tcW w:type="dxa" w:w="2160"/>
          </w:tcPr>
          <w:p>
            <w:r>
              <w:t>• Rédaction par avocat</w:t>
              <w:br/>
              <w:t>• Présence de témoins</w:t>
              <w:br/>
              <w:t>• Respect des formes légales</w:t>
            </w:r>
          </w:p>
        </w:tc>
      </w:tr>
      <w:tr>
        <w:tc>
          <w:tcPr>
            <w:tcW w:type="dxa" w:w="2160"/>
          </w:tcPr>
          <w:p>
            <w:r>
              <w:t>Non-respect des droits du tiers</w:t>
            </w:r>
          </w:p>
        </w:tc>
        <w:tc>
          <w:tcPr>
            <w:tcW w:type="dxa" w:w="2160"/>
          </w:tcPr>
          <w:p>
            <w:r>
              <w:t>Vente de terrains grevés de droits non divulgués</w:t>
            </w:r>
          </w:p>
        </w:tc>
        <w:tc>
          <w:tcPr>
            <w:tcW w:type="dxa" w:w="2160"/>
          </w:tcPr>
          <w:p>
            <w:r>
              <w:t>Ordonnance n°74/1, Code civil</w:t>
            </w:r>
          </w:p>
        </w:tc>
        <w:tc>
          <w:tcPr>
            <w:tcW w:type="dxa" w:w="2160"/>
          </w:tcPr>
          <w:p>
            <w:r>
              <w:t>• Recherche préalable des droits</w:t>
              <w:br/>
              <w:t>• Publication des acquisitions</w:t>
              <w:br/>
              <w:t>• Divulgation complète au client</w:t>
            </w:r>
          </w:p>
        </w:tc>
      </w:tr>
      <w:tr>
        <w:tc>
          <w:tcPr>
            <w:tcW w:type="dxa" w:w="2160"/>
          </w:tcPr>
          <w:p>
            <w:r>
              <w:t>Défaut de paiement</w:t>
            </w:r>
          </w:p>
        </w:tc>
        <w:tc>
          <w:tcPr>
            <w:tcW w:type="dxa" w:w="2160"/>
          </w:tcPr>
          <w:p>
            <w:r>
              <w:t>Acheteur défaillant pendant les échelonnements</w:t>
            </w:r>
          </w:p>
        </w:tc>
        <w:tc>
          <w:tcPr>
            <w:tcW w:type="dxa" w:w="2160"/>
          </w:tcPr>
          <w:p>
            <w:r>
              <w:t>Code civil et OHADA</w:t>
            </w:r>
          </w:p>
        </w:tc>
        <w:tc>
          <w:tcPr>
            <w:tcW w:type="dxa" w:w="2160"/>
          </w:tcPr>
          <w:p>
            <w:r>
              <w:t>• Clause de résolution du contrat</w:t>
              <w:br/>
              <w:t>• Garanties (hypothèque)</w:t>
              <w:br/>
              <w:t>• Procédure de recouvrement rapide</w:t>
            </w:r>
          </w:p>
        </w:tc>
      </w:tr>
      <w:tr>
        <w:tc>
          <w:tcPr>
            <w:tcW w:type="dxa" w:w="2160"/>
          </w:tcPr>
          <w:p>
            <w:r>
              <w:t>Blanchiment de capitaux</w:t>
            </w:r>
          </w:p>
        </w:tc>
        <w:tc>
          <w:tcPr>
            <w:tcW w:type="dxa" w:w="2160"/>
          </w:tcPr>
          <w:p>
            <w:r>
              <w:t>Utilisation du projet pour opérations financières illicites</w:t>
            </w:r>
          </w:p>
        </w:tc>
        <w:tc>
          <w:tcPr>
            <w:tcW w:type="dxa" w:w="2160"/>
          </w:tcPr>
          <w:p>
            <w:r>
              <w:t>Loi CEMAC sur la lutte contre le blanchiment</w:t>
            </w:r>
          </w:p>
        </w:tc>
        <w:tc>
          <w:tcPr>
            <w:tcW w:type="dxa" w:w="2160"/>
          </w:tcPr>
          <w:p>
            <w:r>
              <w:t>• KYC stricts sur acheteurs</w:t>
              <w:br/>
              <w:t>• Documentation complète</w:t>
              <w:br/>
              <w:t>• Traçabilité des paiements</w:t>
            </w:r>
          </w:p>
        </w:tc>
      </w:tr>
    </w:tbl>
    <w:p>
      <w:pPr>
        <w:pStyle w:val="Heading1"/>
      </w:pPr>
      <w:r>
        <w:t>III. DÉTAILS DES RISQUES ET MESURES</w:t>
      </w:r>
    </w:p>
    <w:p>
      <w:pPr>
        <w:pStyle w:val="Heading2"/>
      </w:pPr>
      <w:r>
        <w:t>III.1 Escroquerie foncière (Articles 314-316 Code pénal)</w:t>
      </w:r>
    </w:p>
    <w:p>
      <w:r>
        <w:t>Risque: Vente de terrains dont MANO VERDE INC SA ne possède pas un titre valide et transférable.</w:t>
      </w:r>
    </w:p>
    <w:p>
      <w:r>
        <w:t>Mesures préventives:</w:t>
        <w:br/>
        <w:t>1. Audit foncier complet avant la commercialisation</w:t>
        <w:br/>
        <w:t>2. Immatriculation auprès du Service des Domaines</w:t>
        <w:br/>
        <w:t>3. Attestation de propriété par huissier</w:t>
      </w:r>
    </w:p>
    <w:p>
      <w:pPr>
        <w:pStyle w:val="Heading2"/>
      </w:pPr>
      <w:r>
        <w:t>III.2 Abus de confiance (Articles 388-394 Code pénal)</w:t>
      </w:r>
    </w:p>
    <w:p>
      <w:r>
        <w:t>Risque: Rétention indue des actes de propriété ou des titres de transfer.</w:t>
      </w:r>
    </w:p>
    <w:p>
      <w:r>
        <w:t>Mesures préventives:</w:t>
        <w:br/>
        <w:t>1. Remise immédiate des actes après paiement intégral</w:t>
        <w:br/>
        <w:t>2. Contrat de dépôt chez notaire pendant les échelonnements</w:t>
        <w:br/>
        <w:t>3. Registre traçable des actes délivrés</w:t>
      </w:r>
    </w:p>
    <w:p>
      <w:pPr>
        <w:pStyle w:val="Heading2"/>
      </w:pPr>
      <w:r>
        <w:t>III.3 Défaut d'immatriculation et droits de tiers</w:t>
      </w:r>
    </w:p>
    <w:p>
      <w:r>
        <w:t>Risque: Terrains grevés d'hypothèques, de droits d'usufruit ou d'emprunts impayés.</w:t>
      </w:r>
    </w:p>
    <w:p>
      <w:r>
        <w:t>Mesures préventives:</w:t>
        <w:br/>
        <w:t>1. Recherche complète au bureau des hypothèques</w:t>
        <w:br/>
        <w:t>2. Certificat de non-encumbrance (absence de droits)</w:t>
        <w:br/>
        <w:t>3. Divulgation écrite à chaque acheteur</w:t>
      </w:r>
    </w:p>
    <w:p>
      <w:pPr>
        <w:pStyle w:val="Heading1"/>
      </w:pPr>
      <w:r>
        <w:t>IV. RESPONSABILITÉ PÉNALE PERSONNELLE</w:t>
      </w:r>
    </w:p>
    <w:p>
      <w:r>
        <w:t>Les dirigeants de MANO VERDE INC SA peuvent être poursuivis personnellement pour:</w:t>
        <w:br/>
        <w:t>• Escroquerie et abus de confiance</w:t>
        <w:br/>
        <w:t>• Blanchiment de capitaux</w:t>
        <w:br/>
        <w:t>• Usurpation de fonctions notariales</w:t>
      </w:r>
    </w:p>
    <w:p>
      <w:r>
        <w:t>Sanctions possibles: Emprisonnement de 2 à 10 ans et/ou amendes jusqu'à 50 millions FCFA.</w:t>
      </w:r>
    </w:p>
    <w:p>
      <w:pPr>
        <w:pStyle w:val="Heading1"/>
      </w:pPr>
      <w:r>
        <w:t>V. CONCLUSIONS ET RECOMMANDATIONS</w:t>
      </w:r>
    </w:p>
    <w:p>
      <w:r>
        <w:t>La conformité à la législation cameraunaise et aux textes OHADA est impérative pour éviter les poursuites pénales. Un accompagnement juridique constant par un cabinet d'avocats spécialisé est recommandé.</w:t>
      </w:r>
    </w:p>
    <w:p>
      <w:r>
        <w:rPr>
          <w:i/>
        </w:rPr>
        <w:t>Note: Ce document est un modèle type destiné à une validation ultérieure par le conseil juridique.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