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870A6" w14:textId="77777777" w:rsidR="00CC4A8D" w:rsidRDefault="00B244F2">
      <w:pPr>
        <w:spacing w:before="120" w:line="480" w:lineRule="auto"/>
        <w:ind w:leftChars="0" w:left="0" w:firstLineChars="0" w:firstLine="0"/>
        <w:jc w:val="both"/>
        <w:rPr>
          <w:rFonts w:asciiTheme="minorHAnsi" w:eastAsia="Calibri" w:hAnsiTheme="minorHAnsi"/>
          <w:b/>
        </w:rPr>
      </w:pPr>
      <w:commentRangeStart w:id="0"/>
      <w:r>
        <w:rPr>
          <w:rFonts w:asciiTheme="minorHAnsi" w:eastAsia="Calibri" w:hAnsiTheme="minorHAnsi"/>
          <w:b/>
        </w:rPr>
        <w:t>INTRODUCTION</w:t>
      </w:r>
      <w:commentRangeEnd w:id="0"/>
      <w:r w:rsidR="007D78B1">
        <w:rPr>
          <w:rStyle w:val="CommentReference"/>
        </w:rPr>
        <w:commentReference w:id="0"/>
      </w:r>
    </w:p>
    <w:p w14:paraId="6F867156" w14:textId="1020BA4F" w:rsidR="00CC4A8D"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Animals living in permanent social groups </w:t>
      </w:r>
      <w:r w:rsidR="007F255C">
        <w:rPr>
          <w:rFonts w:asciiTheme="minorHAnsi" w:eastAsia="Calibri" w:hAnsiTheme="minorHAnsi"/>
        </w:rPr>
        <w:t>must</w:t>
      </w:r>
      <w:r>
        <w:rPr>
          <w:rFonts w:asciiTheme="minorHAnsi" w:eastAsia="Calibri" w:hAnsiTheme="minorHAnsi"/>
        </w:rPr>
        <w:t xml:space="preserve"> decide when and how to interact with group members</w:t>
      </w:r>
      <w:ins w:id="1" w:author="anna" w:date="2020-05-16T20:20:00Z">
        <w:r w:rsidR="00774220">
          <w:rPr>
            <w:rFonts w:asciiTheme="minorHAnsi" w:eastAsia="Calibri" w:hAnsiTheme="minorHAnsi"/>
          </w:rPr>
          <w:t>,</w:t>
        </w:r>
      </w:ins>
      <w:r>
        <w:rPr>
          <w:rFonts w:asciiTheme="minorHAnsi" w:eastAsia="Calibri" w:hAnsiTheme="minorHAnsi"/>
        </w:rPr>
        <w:t xml:space="preserve"> and their ability to make </w:t>
      </w:r>
      <w:del w:id="2" w:author="anna" w:date="2020-05-16T20:24:00Z">
        <w:r w:rsidDel="00310558">
          <w:rPr>
            <w:rFonts w:asciiTheme="minorHAnsi" w:eastAsia="Calibri" w:hAnsiTheme="minorHAnsi"/>
          </w:rPr>
          <w:delText xml:space="preserve">the </w:delText>
        </w:r>
      </w:del>
      <w:del w:id="3" w:author="anna" w:date="2020-05-16T20:18:00Z">
        <w:r w:rsidDel="00774220">
          <w:rPr>
            <w:rFonts w:asciiTheme="minorHAnsi" w:eastAsia="Calibri" w:hAnsiTheme="minorHAnsi"/>
          </w:rPr>
          <w:delText xml:space="preserve">correct </w:delText>
        </w:r>
      </w:del>
      <w:ins w:id="4" w:author="anna" w:date="2020-05-16T20:21:00Z">
        <w:r w:rsidR="00310558">
          <w:rPr>
            <w:rFonts w:asciiTheme="minorHAnsi" w:eastAsia="Calibri" w:hAnsiTheme="minorHAnsi"/>
          </w:rPr>
          <w:t>appropriate</w:t>
        </w:r>
      </w:ins>
      <w:ins w:id="5" w:author="anna" w:date="2020-05-16T20:18:00Z">
        <w:r w:rsidR="00774220">
          <w:rPr>
            <w:rFonts w:asciiTheme="minorHAnsi" w:eastAsia="Calibri" w:hAnsiTheme="minorHAnsi"/>
          </w:rPr>
          <w:t xml:space="preserve"> </w:t>
        </w:r>
      </w:ins>
      <w:r>
        <w:rPr>
          <w:rFonts w:asciiTheme="minorHAnsi" w:eastAsia="Calibri" w:hAnsiTheme="minorHAnsi"/>
        </w:rPr>
        <w:t>choice</w:t>
      </w:r>
      <w:ins w:id="6" w:author="anna" w:date="2020-05-16T20:18:00Z">
        <w:r w:rsidR="00774220">
          <w:rPr>
            <w:rFonts w:asciiTheme="minorHAnsi" w:eastAsia="Calibri" w:hAnsiTheme="minorHAnsi"/>
          </w:rPr>
          <w:t>s</w:t>
        </w:r>
      </w:ins>
      <w:r>
        <w:rPr>
          <w:rFonts w:asciiTheme="minorHAnsi" w:eastAsia="Calibri" w:hAnsiTheme="minorHAnsi"/>
        </w:rPr>
        <w:t xml:space="preserve"> has potential fitness implications. It has long been hypothesised that the evolution of cognitive skills is a response to the selection pressure imposed by the complexity of the social environment </w:t>
      </w:r>
      <w:r>
        <w:rPr>
          <w:rFonts w:asciiTheme="minorHAnsi" w:eastAsia="Calibri" w:hAnsiTheme="minorHAnsi"/>
        </w:rPr>
        <w:fldChar w:fldCharType="begin" w:fldLock="1"/>
      </w:r>
      <w:r w:rsidR="00F57648">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Humphrey, 1976; Jolly, 1966)</w:t>
      </w:r>
      <w:r>
        <w:rPr>
          <w:rFonts w:asciiTheme="minorHAnsi" w:eastAsia="Calibri" w:hAnsiTheme="minorHAnsi"/>
        </w:rPr>
        <w:fldChar w:fldCharType="end"/>
      </w:r>
      <w:r>
        <w:rPr>
          <w:rFonts w:asciiTheme="minorHAnsi" w:eastAsia="Calibri" w:hAnsiTheme="minorHAnsi"/>
        </w:rPr>
        <w:t xml:space="preserve">. This hypothesis </w:t>
      </w:r>
      <w:r w:rsidR="007C543E">
        <w:rPr>
          <w:rFonts w:asciiTheme="minorHAnsi" w:eastAsia="Calibri" w:hAnsiTheme="minorHAnsi"/>
        </w:rPr>
        <w:t>assumes</w:t>
      </w:r>
      <w:r>
        <w:rPr>
          <w:rFonts w:asciiTheme="minorHAnsi" w:eastAsia="Calibri" w:hAnsiTheme="minorHAnsi"/>
        </w:rPr>
        <w:t xml:space="preserve"> that animals in more “complex” social systems must integrate more </w:t>
      </w:r>
      <w:r w:rsidR="008B486F">
        <w:rPr>
          <w:rFonts w:asciiTheme="minorHAnsi" w:eastAsia="Calibri" w:hAnsiTheme="minorHAnsi"/>
        </w:rPr>
        <w:t xml:space="preserve">social </w:t>
      </w:r>
      <w:r>
        <w:rPr>
          <w:rFonts w:asciiTheme="minorHAnsi" w:eastAsia="Calibri" w:hAnsiTheme="minorHAnsi"/>
        </w:rPr>
        <w:t xml:space="preserve">information to out-compete others </w:t>
      </w:r>
      <w:r>
        <w:rPr>
          <w:rFonts w:asciiTheme="minorHAnsi" w:eastAsia="Calibri" w:hAnsiTheme="minorHAnsi"/>
        </w:rPr>
        <w:fldChar w:fldCharType="begin" w:fldLock="1"/>
      </w:r>
      <w:r w:rsidR="00792622">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Dunbar, 1993)</w:t>
      </w:r>
      <w:r>
        <w:rPr>
          <w:rFonts w:asciiTheme="minorHAnsi" w:eastAsia="Calibri" w:hAnsiTheme="minorHAnsi"/>
        </w:rPr>
        <w:fldChar w:fldCharType="end"/>
      </w:r>
      <w:r>
        <w:rPr>
          <w:rFonts w:asciiTheme="minorHAnsi" w:eastAsia="Calibri" w:hAnsiTheme="minorHAnsi"/>
        </w:rPr>
        <w:t xml:space="preserve">. Social complexity </w:t>
      </w:r>
      <w:r w:rsidR="00B4481E">
        <w:rPr>
          <w:rFonts w:asciiTheme="minorHAnsi" w:eastAsia="Calibri" w:hAnsiTheme="minorHAnsi"/>
        </w:rPr>
        <w:t>can be defined by</w:t>
      </w:r>
      <w:r>
        <w:rPr>
          <w:rFonts w:asciiTheme="minorHAnsi" w:eastAsia="Calibri" w:hAnsiTheme="minorHAnsi"/>
        </w:rPr>
        <w:t xml:space="preserve"> the </w:t>
      </w:r>
      <w:r w:rsidR="00B4481E">
        <w:rPr>
          <w:rFonts w:asciiTheme="minorHAnsi" w:eastAsia="Calibri" w:hAnsiTheme="minorHAnsi"/>
        </w:rPr>
        <w:t xml:space="preserve">information </w:t>
      </w:r>
      <w:r>
        <w:rPr>
          <w:rFonts w:asciiTheme="minorHAnsi" w:eastAsia="Calibri" w:hAnsiTheme="minorHAnsi"/>
        </w:rPr>
        <w:t xml:space="preserve">necessary to successfully predict future states of a system </w:t>
      </w:r>
      <w:r>
        <w:rPr>
          <w:rFonts w:asciiTheme="minorHAnsi" w:eastAsia="Calibri" w:hAnsiTheme="minorHAnsi"/>
        </w:rPr>
        <w:fldChar w:fldCharType="begin" w:fldLock="1"/>
      </w:r>
      <w:r>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(Flack, 2012; Sambrook &amp; Whiten, 1997)</w:t>
      </w:r>
      <w:r>
        <w:rPr>
          <w:rFonts w:asciiTheme="minorHAnsi" w:eastAsia="Calibri" w:hAnsiTheme="minorHAnsi"/>
        </w:rPr>
        <w:fldChar w:fldCharType="end"/>
      </w:r>
      <w:r w:rsidR="00B4481E">
        <w:rPr>
          <w:rFonts w:asciiTheme="minorHAnsi" w:eastAsia="Calibri" w:hAnsiTheme="minorHAnsi"/>
        </w:rPr>
        <w:t>, assuming that this reflects the efforts from the perspective of the individual</w:t>
      </w:r>
      <w:r>
        <w:rPr>
          <w:rFonts w:asciiTheme="minorHAnsi" w:eastAsia="Calibri" w:hAnsiTheme="minorHAnsi"/>
        </w:rPr>
        <w:t xml:space="preserve">. </w:t>
      </w:r>
    </w:p>
    <w:p w14:paraId="13B6D2B3" w14:textId="77777777" w:rsidR="00CC4A8D" w:rsidRDefault="00B244F2" w:rsidP="00792622">
      <w:pPr>
        <w:spacing w:before="120" w:line="480" w:lineRule="auto"/>
        <w:ind w:left="0" w:hanging="2"/>
        <w:jc w:val="both"/>
        <w:rPr>
          <w:rFonts w:asciiTheme="minorHAnsi" w:eastAsia="Calibri" w:hAnsiTheme="minorHAnsi"/>
        </w:rPr>
      </w:pPr>
      <w:r>
        <w:rPr>
          <w:rFonts w:asciiTheme="minorHAnsi" w:eastAsia="Calibri" w:hAnsiTheme="minorHAnsi"/>
        </w:rPr>
        <w:t xml:space="preserve">Comparable measures of how predictable interactions are from the perspective of individuals living in a community could allow us to link aspects of an individual’s social life to the evolution of complex decision-making </w:t>
      </w:r>
      <w:r>
        <w:rPr>
          <w:rFonts w:asciiTheme="minorHAnsi" w:eastAsia="Calibri" w:hAnsiTheme="minorHAnsi"/>
        </w:rPr>
        <w:fldChar w:fldCharType="begin" w:fldLock="1"/>
      </w:r>
      <w:r w:rsidR="000A152C">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Pr>
          <w:rFonts w:asciiTheme="minorHAnsi" w:eastAsia="Calibri" w:hAnsiTheme="minorHAnsi"/>
        </w:rPr>
        <w:fldChar w:fldCharType="separate"/>
      </w:r>
      <w:r w:rsidR="00C624CE" w:rsidRPr="00C624CE">
        <w:rPr>
          <w:rFonts w:asciiTheme="minorHAnsi" w:eastAsia="Calibri" w:hAnsiTheme="minorHAnsi"/>
          <w:noProof/>
        </w:rPr>
        <w:t>(Aureli &amp; Schino, 2019; Dunbar &amp; Shultz, 2010)</w:t>
      </w:r>
      <w:r>
        <w:rPr>
          <w:rFonts w:asciiTheme="minorHAnsi" w:eastAsia="Calibri" w:hAnsiTheme="minorHAnsi"/>
        </w:rPr>
        <w:fldChar w:fldCharType="end"/>
      </w:r>
      <w:r>
        <w:rPr>
          <w:rFonts w:asciiTheme="minorHAnsi" w:eastAsia="Calibri" w:hAnsiTheme="minorHAnsi"/>
        </w:rPr>
        <w:t xml:space="preserve">. Relationships are more predictable if partner choice is highly </w:t>
      </w:r>
      <w:r>
        <w:rPr>
          <w:rFonts w:asciiTheme="minorHAnsi" w:eastAsia="Calibri" w:hAnsiTheme="minorHAnsi"/>
          <w:i/>
        </w:rPr>
        <w:t>consistent</w:t>
      </w:r>
      <w:r>
        <w:rPr>
          <w:rFonts w:asciiTheme="minorHAnsi" w:eastAsia="Calibri" w:hAnsiTheme="minorHAnsi"/>
        </w:rPr>
        <w:t xml:space="preserve"> over repeated interactions </w:t>
      </w:r>
      <w:r>
        <w:rPr>
          <w:rFonts w:asciiTheme="minorHAnsi" w:eastAsia="Calibri" w:hAnsiTheme="minorHAnsi"/>
        </w:rPr>
        <w:fldChar w:fldCharType="begin" w:fldLock="1"/>
      </w:r>
      <w:r w:rsidR="004A57E7">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Pr>
          <w:rFonts w:asciiTheme="minorHAnsi" w:eastAsia="Calibri" w:hAnsiTheme="minorHAnsi"/>
        </w:rPr>
        <w:fldChar w:fldCharType="separate"/>
      </w:r>
      <w:r w:rsidR="00B4481E" w:rsidRPr="00B4481E">
        <w:rPr>
          <w:rFonts w:asciiTheme="minorHAnsi" w:eastAsia="Calibri" w:hAnsiTheme="minorHAnsi"/>
          <w:noProof/>
        </w:rPr>
        <w:t>(Kalbitz et al., 2016; Koski et al., 2012; Moscovice et al., 2017; Silk et al., 2006)</w:t>
      </w:r>
      <w:r>
        <w:rPr>
          <w:rFonts w:asciiTheme="minorHAnsi" w:eastAsia="Calibri" w:hAnsiTheme="minorHAnsi"/>
        </w:rPr>
        <w:fldChar w:fldCharType="end"/>
      </w:r>
      <w:r>
        <w:rPr>
          <w:rFonts w:asciiTheme="minorHAnsi" w:eastAsia="Calibri" w:hAnsiTheme="minorHAnsi"/>
        </w:rPr>
        <w:t xml:space="preserve"> and observing a subset of interactions allows individuals to accurately predict </w:t>
      </w:r>
      <w:r w:rsidR="00C624CE">
        <w:rPr>
          <w:rFonts w:asciiTheme="minorHAnsi" w:eastAsia="Calibri" w:hAnsiTheme="minorHAnsi"/>
        </w:rPr>
        <w:t>future interactions</w:t>
      </w:r>
      <w:r>
        <w:rPr>
          <w:rFonts w:asciiTheme="minorHAnsi" w:eastAsia="Calibri" w:hAnsiTheme="minorHAnsi"/>
        </w:rPr>
        <w:t xml:space="preserve"> </w:t>
      </w:r>
      <w:r>
        <w:rPr>
          <w:rFonts w:asciiTheme="minorHAnsi" w:eastAsia="Calibri" w:hAnsiTheme="minorHAnsi"/>
        </w:rPr>
        <w:fldChar w:fldCharType="begin" w:fldLock="1"/>
      </w:r>
      <w:r>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(Whiten, 2000)</w:t>
      </w:r>
      <w:r>
        <w:rPr>
          <w:rFonts w:asciiTheme="minorHAnsi" w:eastAsia="Calibri" w:hAnsiTheme="minorHAnsi"/>
        </w:rPr>
        <w:fldChar w:fldCharType="end"/>
      </w:r>
      <w:r>
        <w:rPr>
          <w:rFonts w:asciiTheme="minorHAnsi" w:eastAsia="Calibri" w:hAnsiTheme="minorHAnsi"/>
        </w:rPr>
        <w:t>. An example of this are steep linear dominance hierarchies, in which a single interaction contains enough information to predict future</w:t>
      </w:r>
      <w:r w:rsidR="00B4481E">
        <w:rPr>
          <w:rFonts w:asciiTheme="minorHAnsi" w:eastAsia="Calibri" w:hAnsiTheme="minorHAnsi"/>
        </w:rPr>
        <w:t xml:space="preserve"> dyadic</w:t>
      </w:r>
      <w:r>
        <w:rPr>
          <w:rFonts w:asciiTheme="minorHAnsi" w:eastAsia="Calibri" w:hAnsiTheme="minorHAnsi"/>
        </w:rPr>
        <w:t xml:space="preserve"> contest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w:instrText>
      </w:r>
      <w:r w:rsidR="00383737" w:rsidRPr="002A3884">
        <w:rPr>
          <w:rFonts w:asciiTheme="minorHAnsi" w:eastAsia="Calibri" w:hAnsiTheme="minorHAnsi"/>
          <w:lang w:val="fr-FR"/>
        </w:rPr>
        <w:instrText>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Pr>
          <w:rFonts w:asciiTheme="minorHAnsi" w:eastAsia="Calibri" w:hAnsiTheme="minorHAnsi"/>
        </w:rPr>
        <w:fldChar w:fldCharType="separate"/>
      </w:r>
      <w:r w:rsidRPr="002A3884">
        <w:rPr>
          <w:rFonts w:asciiTheme="minorHAnsi" w:eastAsia="Calibri" w:hAnsiTheme="minorHAnsi"/>
          <w:noProof/>
          <w:lang w:val="fr-FR"/>
        </w:rPr>
        <w:t>(Guillermo Paz-Y-Miño et al., 2004; Oliveira et al., 1998; Sánchez-Tójar et al., 2018)</w:t>
      </w:r>
      <w:r>
        <w:rPr>
          <w:rFonts w:asciiTheme="minorHAnsi" w:eastAsia="Calibri" w:hAnsiTheme="minorHAnsi"/>
        </w:rPr>
        <w:fldChar w:fldCharType="end"/>
      </w:r>
      <w:r w:rsidRPr="002A3884">
        <w:rPr>
          <w:rFonts w:asciiTheme="minorHAnsi" w:eastAsia="Calibri" w:hAnsiTheme="minorHAnsi"/>
          <w:lang w:val="fr-FR"/>
        </w:rPr>
        <w:t xml:space="preserve">. </w:t>
      </w:r>
      <w:r>
        <w:rPr>
          <w:rFonts w:asciiTheme="minorHAnsi" w:eastAsia="Calibri" w:hAnsiTheme="minorHAnsi"/>
        </w:rPr>
        <w:t xml:space="preserve">Low consistency can be the result of an unpredictable distribution of social interactions or of frequent changes in relationships over time, both indicating an increased need for cognitive flexibility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(Barrett et al., 2002)</w:t>
      </w:r>
      <w:r>
        <w:rPr>
          <w:rFonts w:asciiTheme="minorHAnsi" w:eastAsia="Calibri" w:hAnsiTheme="minorHAnsi"/>
        </w:rPr>
        <w:fldChar w:fldCharType="end"/>
      </w:r>
      <w:r>
        <w:rPr>
          <w:rFonts w:asciiTheme="minorHAnsi" w:eastAsia="Calibri" w:hAnsiTheme="minorHAnsi"/>
        </w:rPr>
        <w:t xml:space="preserve">. </w:t>
      </w:r>
    </w:p>
    <w:p w14:paraId="67BDEA93" w14:textId="77777777" w:rsidR="00C624CE" w:rsidRDefault="007F255C"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lastRenderedPageBreak/>
        <w:t>Many behavioural studies depend on aggregated distributions of interaction type</w:t>
      </w:r>
      <w:r w:rsidR="00E20312">
        <w:rPr>
          <w:rFonts w:asciiTheme="minorHAnsi" w:eastAsia="Calibri" w:hAnsiTheme="minorHAnsi"/>
        </w:rPr>
        <w:t>s</w:t>
      </w:r>
      <w:r>
        <w:rPr>
          <w:rFonts w:asciiTheme="minorHAnsi" w:eastAsia="Calibri" w:hAnsiTheme="minorHAnsi"/>
        </w:rPr>
        <w:t xml:space="preserve"> over time</w:t>
      </w:r>
      <w:r w:rsidR="00E20312">
        <w:rPr>
          <w:rFonts w:asciiTheme="minorHAnsi" w:eastAsia="Calibri" w:hAnsiTheme="minorHAnsi"/>
        </w:rPr>
        <w:t>, as dependent or independent variable or to create networks or relationship indices</w:t>
      </w:r>
      <w:r>
        <w:rPr>
          <w:rFonts w:asciiTheme="minorHAnsi" w:eastAsia="Calibri" w:hAnsiTheme="minorHAnsi"/>
        </w:rPr>
        <w:t xml:space="preserve">. </w:t>
      </w:r>
      <w:r w:rsidR="00C25E34">
        <w:rPr>
          <w:rFonts w:asciiTheme="minorHAnsi" w:eastAsia="Calibri" w:hAnsiTheme="minorHAnsi"/>
        </w:rPr>
        <w:t xml:space="preserve">The basic assumption is that the data accurately reflect what individuals were doing in the study period. </w:t>
      </w:r>
      <w:r>
        <w:rPr>
          <w:rFonts w:asciiTheme="minorHAnsi" w:eastAsia="Calibri" w:hAnsiTheme="minorHAnsi"/>
        </w:rPr>
        <w:t>Researchers can only observe a subset of</w:t>
      </w:r>
      <w:r w:rsidR="008B486F">
        <w:rPr>
          <w:rFonts w:asciiTheme="minorHAnsi" w:eastAsia="Calibri" w:hAnsiTheme="minorHAnsi"/>
        </w:rPr>
        <w:t xml:space="preserve"> individuals’</w:t>
      </w:r>
      <w:r>
        <w:rPr>
          <w:rFonts w:asciiTheme="minorHAnsi" w:eastAsia="Calibri" w:hAnsiTheme="minorHAnsi"/>
        </w:rPr>
        <w:t xml:space="preserve"> interactions, meaning that the “real” distribution of interactions is unknown and we have to assume that the collected data reflect it accurately </w:t>
      </w:r>
      <w:r>
        <w:rPr>
          <w:rFonts w:asciiTheme="minorHAnsi" w:eastAsia="Calibri" w:hAnsiTheme="minorHAnsi"/>
        </w:rPr>
        <w:fldChar w:fldCharType="begin" w:fldLock="1"/>
      </w:r>
      <w:r w:rsidR="0073734E">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Pr>
          <w:rFonts w:ascii="Cambria Math" w:eastAsia="Calibri" w:hAnsi="Cambria Math" w:cs="Cambria Math"/>
        </w:rPr>
        <w:instrText>∼</w:instrText>
      </w:r>
      <w:r w:rsidR="0073734E">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Pr>
          <w:rFonts w:ascii="Cambria Math" w:eastAsia="Calibri" w:hAnsi="Cambria Math" w:cs="Cambria Math"/>
        </w:rPr>
        <w:instrText>∼</w:instrText>
      </w:r>
      <w:r w:rsidR="0073734E">
        <w:rPr>
          <w:rFonts w:asciiTheme="minorHAnsi" w:eastAsia="Calibri" w:hAnsiTheme="minorHAnsi"/>
        </w:rPr>
        <w:instrText xml:space="preserve">0.4. It requires about 10 times as much data to achieve a representation with r = </w:instrText>
      </w:r>
      <w:r w:rsidR="0073734E">
        <w:rPr>
          <w:rFonts w:ascii="Cambria Math" w:eastAsia="Calibri" w:hAnsi="Cambria Math" w:cs="Cambria Math"/>
        </w:rPr>
        <w:instrText>∼</w:instrText>
      </w:r>
      <w:r w:rsidR="0073734E">
        <w:rPr>
          <w:rFonts w:asciiTheme="minorHAnsi" w:eastAsia="Calibri" w:hAnsiTheme="minorHAnsi"/>
        </w:rPr>
        <w:instrText xml:space="preserve">0.8. Permutation tests usually reject the null hypothesis that individuals have no preferred associates when S2 </w:instrText>
      </w:r>
      <w:r w:rsidR="0073734E">
        <w:rPr>
          <w:rFonts w:ascii="Calibri" w:eastAsia="Calibri" w:hAnsi="Calibri" w:cs="Calibri"/>
        </w:rPr>
        <w:instrText>×</w:instrText>
      </w:r>
      <w:r w:rsidR="0073734E">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Pr>
          <w:rFonts w:asciiTheme="minorHAnsi" w:eastAsia="Calibri" w:hAnsiTheme="minorHAnsi"/>
        </w:rPr>
        <w:fldChar w:fldCharType="separate"/>
      </w:r>
      <w:r w:rsidR="008B486F" w:rsidRPr="008B486F">
        <w:rPr>
          <w:rFonts w:asciiTheme="minorHAnsi" w:eastAsia="Calibri" w:hAnsiTheme="minorHAnsi"/>
          <w:noProof/>
        </w:rPr>
        <w:t>(Farine &amp; Strandburg-Peshkin, 2015; Kasper &amp; Voelkl, 2009; Whitehead, 2008)</w:t>
      </w:r>
      <w:r>
        <w:rPr>
          <w:rFonts w:asciiTheme="minorHAnsi" w:eastAsia="Calibri" w:hAnsiTheme="minorHAnsi"/>
        </w:rPr>
        <w:fldChar w:fldCharType="end"/>
      </w:r>
      <w:r>
        <w:rPr>
          <w:rFonts w:asciiTheme="minorHAnsi" w:eastAsia="Calibri" w:hAnsiTheme="minorHAnsi"/>
        </w:rPr>
        <w:t>. However, if data are sparse, estimate error</w:t>
      </w:r>
      <w:r w:rsidR="00E20312">
        <w:rPr>
          <w:rFonts w:asciiTheme="minorHAnsi" w:eastAsia="Calibri" w:hAnsiTheme="minorHAnsi"/>
        </w:rPr>
        <w:t xml:space="preserve">s are increased </w:t>
      </w:r>
      <w:r>
        <w:rPr>
          <w:rFonts w:asciiTheme="minorHAnsi" w:eastAsia="Calibri" w:hAnsiTheme="minorHAnsi"/>
        </w:rPr>
        <w:t xml:space="preserve">and robustness of the resulting distribution </w:t>
      </w:r>
      <w:r w:rsidR="00E20312">
        <w:rPr>
          <w:rFonts w:asciiTheme="minorHAnsi" w:eastAsia="Calibri" w:hAnsiTheme="minorHAnsi"/>
        </w:rPr>
        <w:t xml:space="preserve">reduced </w:t>
      </w:r>
      <w:r>
        <w:rPr>
          <w:rFonts w:asciiTheme="minorHAnsi" w:eastAsia="Calibri" w:hAnsiTheme="minorHAnsi"/>
        </w:rPr>
        <w:fldChar w:fldCharType="begin" w:fldLock="1"/>
      </w:r>
      <w:r>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(Lusseau et al., 2008; Shizuka &amp; Farine, 2016)</w:t>
      </w:r>
      <w:r>
        <w:rPr>
          <w:rFonts w:asciiTheme="minorHAnsi" w:eastAsia="Calibri" w:hAnsiTheme="minorHAnsi"/>
        </w:rPr>
        <w:fldChar w:fldCharType="end"/>
      </w:r>
      <w:r>
        <w:rPr>
          <w:rFonts w:asciiTheme="minorHAnsi" w:eastAsia="Calibri" w:hAnsiTheme="minorHAnsi"/>
        </w:rPr>
        <w:t xml:space="preserve">. Working with distributions which are not accurate representations of the underlying distribution can lead to misleading results </w:t>
      </w:r>
      <w:r>
        <w:rPr>
          <w:rFonts w:asciiTheme="minorHAnsi" w:eastAsia="Calibri" w:hAnsiTheme="minorHAnsi"/>
        </w:rPr>
        <w:fldChar w:fldCharType="begin" w:fldLock="1"/>
      </w:r>
      <w:r>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(Davis et al., 2018)</w:t>
      </w:r>
      <w:r>
        <w:rPr>
          <w:rFonts w:asciiTheme="minorHAnsi" w:eastAsia="Calibri" w:hAnsiTheme="minorHAnsi"/>
        </w:rPr>
        <w:fldChar w:fldCharType="end"/>
      </w:r>
      <w:r>
        <w:rPr>
          <w:rFonts w:asciiTheme="minorHAnsi" w:eastAsia="Calibri" w:hAnsiTheme="minorHAnsi"/>
        </w:rPr>
        <w:t xml:space="preserve">. This problem is aggravated when already sparse datasets are cut into shorter time intervals (e.g. </w:t>
      </w:r>
      <w:r w:rsidR="008B486F">
        <w:rPr>
          <w:rFonts w:asciiTheme="minorHAnsi" w:eastAsia="Calibri" w:hAnsiTheme="minorHAnsi"/>
        </w:rPr>
        <w:t>6-month</w:t>
      </w:r>
      <w:r>
        <w:rPr>
          <w:rFonts w:asciiTheme="minorHAnsi" w:eastAsia="Calibri" w:hAnsiTheme="minorHAnsi"/>
        </w:rPr>
        <w:t xml:space="preserve"> blocks)</w:t>
      </w:r>
      <w:r w:rsidR="008B486F">
        <w:rPr>
          <w:rFonts w:asciiTheme="minorHAnsi" w:eastAsia="Calibri" w:hAnsiTheme="minorHAnsi"/>
        </w:rPr>
        <w:t>, a common practice in animal behaviour studies</w:t>
      </w:r>
      <w:r>
        <w:rPr>
          <w:rFonts w:asciiTheme="minorHAnsi" w:eastAsia="Calibri" w:hAnsiTheme="minorHAnsi"/>
        </w:rPr>
        <w:t xml:space="preserve">. </w:t>
      </w:r>
      <w:commentRangeStart w:id="7"/>
      <w:r>
        <w:rPr>
          <w:rFonts w:asciiTheme="minorHAnsi" w:eastAsia="Calibri" w:hAnsiTheme="minorHAnsi"/>
        </w:rPr>
        <w:t xml:space="preserve">What constitutes enough data can vary depending on how repeatable partner choice is </w:t>
      </w:r>
      <w:r>
        <w:rPr>
          <w:rFonts w:asciiTheme="minorHAnsi" w:eastAsia="Calibri" w:hAnsiTheme="minorHAnsi"/>
        </w:rPr>
        <w:fldChar w:fldCharType="begin" w:fldLock="1"/>
      </w:r>
      <w:r>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(Sánchez-Tójar et al., 2018)</w:t>
      </w:r>
      <w:r>
        <w:rPr>
          <w:rFonts w:asciiTheme="minorHAnsi" w:eastAsia="Calibri" w:hAnsiTheme="minorHAnsi"/>
        </w:rPr>
        <w:fldChar w:fldCharType="end"/>
      </w:r>
      <w:r>
        <w:rPr>
          <w:rFonts w:asciiTheme="minorHAnsi" w:eastAsia="Calibri" w:hAnsiTheme="minorHAnsi"/>
        </w:rPr>
        <w:t xml:space="preserve">. </w:t>
      </w:r>
    </w:p>
    <w:p w14:paraId="7BDD0987" w14:textId="001205C6" w:rsidR="007F255C" w:rsidRDefault="00C624CE"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 xml:space="preserve">Here, we develop a consistency measure that has two functions: on one hand, it allows researchers to gauge whether they have collected enough data of a certain interaction type to warrant including that interaction type in their analyses, either in a social network or when creating relationship indices. On the other hand, it allows us to compare interaction types within and between species </w:t>
      </w:r>
      <w:r w:rsidR="004A57E7">
        <w:rPr>
          <w:rFonts w:asciiTheme="minorHAnsi" w:eastAsia="Calibri" w:hAnsiTheme="minorHAnsi"/>
        </w:rPr>
        <w:t>regarding</w:t>
      </w:r>
      <w:r>
        <w:rPr>
          <w:rFonts w:asciiTheme="minorHAnsi" w:eastAsia="Calibri" w:hAnsiTheme="minorHAnsi"/>
        </w:rPr>
        <w:t xml:space="preserve"> their predictability. </w:t>
      </w:r>
      <w:commentRangeEnd w:id="7"/>
      <w:r w:rsidR="00D837D9">
        <w:rPr>
          <w:rStyle w:val="CommentReference"/>
        </w:rPr>
        <w:commentReference w:id="7"/>
      </w:r>
      <w:r w:rsidR="007F255C">
        <w:rPr>
          <w:rFonts w:asciiTheme="minorHAnsi" w:eastAsia="Calibri" w:hAnsiTheme="minorHAnsi"/>
        </w:rPr>
        <w:t xml:space="preserve">Consistency should be high if individuals regularly choose the same partners for the same interaction type and observing </w:t>
      </w:r>
      <w:del w:id="8" w:author="anna" w:date="2020-05-16T20:57:00Z">
        <w:r w:rsidR="007F255C" w:rsidDel="00963887">
          <w:rPr>
            <w:rFonts w:asciiTheme="minorHAnsi" w:eastAsia="Calibri" w:hAnsiTheme="minorHAnsi"/>
          </w:rPr>
          <w:delText xml:space="preserve">the </w:delText>
        </w:r>
      </w:del>
      <w:ins w:id="9" w:author="anna" w:date="2020-05-16T20:57:00Z">
        <w:r w:rsidR="00963887">
          <w:rPr>
            <w:rFonts w:asciiTheme="minorHAnsi" w:eastAsia="Calibri" w:hAnsiTheme="minorHAnsi"/>
          </w:rPr>
          <w:t xml:space="preserve">an </w:t>
        </w:r>
      </w:ins>
      <w:r w:rsidR="007F255C">
        <w:rPr>
          <w:rFonts w:asciiTheme="minorHAnsi" w:eastAsia="Calibri" w:hAnsiTheme="minorHAnsi"/>
        </w:rPr>
        <w:t xml:space="preserve">individual at one point in time allows for accurate predictions of </w:t>
      </w:r>
      <w:del w:id="10" w:author="anna" w:date="2020-05-16T20:57:00Z">
        <w:r w:rsidR="007F255C" w:rsidDel="00963887">
          <w:rPr>
            <w:rFonts w:asciiTheme="minorHAnsi" w:eastAsia="Calibri" w:hAnsiTheme="minorHAnsi"/>
          </w:rPr>
          <w:delText xml:space="preserve">their </w:delText>
        </w:r>
      </w:del>
      <w:ins w:id="11" w:author="anna" w:date="2020-05-16T21:02:00Z">
        <w:r w:rsidR="00963887">
          <w:rPr>
            <w:rFonts w:asciiTheme="minorHAnsi" w:eastAsia="Calibri" w:hAnsiTheme="minorHAnsi"/>
          </w:rPr>
          <w:t>its</w:t>
        </w:r>
      </w:ins>
      <w:ins w:id="12" w:author="anna" w:date="2020-05-16T20:57:00Z">
        <w:r w:rsidR="00963887">
          <w:rPr>
            <w:rFonts w:asciiTheme="minorHAnsi" w:eastAsia="Calibri" w:hAnsiTheme="minorHAnsi"/>
          </w:rPr>
          <w:t xml:space="preserve"> </w:t>
        </w:r>
      </w:ins>
      <w:r w:rsidR="007F255C">
        <w:rPr>
          <w:rFonts w:asciiTheme="minorHAnsi" w:eastAsia="Calibri" w:hAnsiTheme="minorHAnsi"/>
        </w:rPr>
        <w:t>behaviour later. Low consistency can arise if individuals show weak partner preference or preference changes over time</w:t>
      </w:r>
      <w:r w:rsidR="00C60AF1">
        <w:rPr>
          <w:rFonts w:asciiTheme="minorHAnsi" w:eastAsia="Calibri" w:hAnsiTheme="minorHAnsi"/>
        </w:rPr>
        <w:t>, or if insufficient data are available</w:t>
      </w:r>
      <w:r w:rsidR="007F255C">
        <w:rPr>
          <w:rFonts w:asciiTheme="minorHAnsi" w:eastAsia="Calibri" w:hAnsiTheme="minorHAnsi"/>
        </w:rPr>
        <w:t>.</w:t>
      </w:r>
    </w:p>
    <w:p w14:paraId="69C3711C" w14:textId="1132AB5B" w:rsidR="00CC4A8D" w:rsidRDefault="00B244F2">
      <w:pPr>
        <w:spacing w:before="120" w:line="480" w:lineRule="auto"/>
        <w:ind w:left="0" w:hanging="2"/>
        <w:jc w:val="both"/>
        <w:rPr>
          <w:rFonts w:asciiTheme="minorHAnsi" w:eastAsia="Calibri" w:hAnsiTheme="minorHAnsi"/>
        </w:rPr>
      </w:pPr>
      <w:r>
        <w:rPr>
          <w:rFonts w:asciiTheme="minorHAnsi" w:eastAsia="Calibri" w:hAnsiTheme="minorHAnsi"/>
        </w:rPr>
        <w:lastRenderedPageBreak/>
        <w:t>To show how consistency can be used to compare social groups with different structure and organisation, we apply the measure to data from two Western chimpanzee (</w:t>
      </w:r>
      <w:r>
        <w:rPr>
          <w:rFonts w:asciiTheme="minorHAnsi" w:eastAsia="Calibri" w:hAnsiTheme="minorHAnsi"/>
          <w:i/>
        </w:rPr>
        <w:t>Pan troglodytes verus</w:t>
      </w:r>
      <w:r>
        <w:rPr>
          <w:rFonts w:asciiTheme="minorHAnsi" w:eastAsia="Calibri" w:hAnsiTheme="minorHAnsi"/>
        </w:rPr>
        <w:t>) communities and one sooty mangabey (</w:t>
      </w:r>
      <w:r>
        <w:rPr>
          <w:rFonts w:asciiTheme="minorHAnsi" w:eastAsia="Calibri" w:hAnsiTheme="minorHAnsi"/>
          <w:i/>
        </w:rPr>
        <w:t>Cercocebus atys atys</w:t>
      </w:r>
      <w:r>
        <w:rPr>
          <w:rFonts w:asciiTheme="minorHAnsi" w:eastAsia="Calibri" w:hAnsiTheme="minorHAnsi"/>
        </w:rPr>
        <w:t xml:space="preserve">) community living sympatrically in the Taï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(Mielke et al., 2017, 2018)</w:t>
      </w:r>
      <w:r>
        <w:rPr>
          <w:rFonts w:asciiTheme="minorHAnsi" w:eastAsia="Calibri" w:hAnsiTheme="minorHAnsi"/>
        </w:rPr>
        <w:fldChar w:fldCharType="end"/>
      </w:r>
      <w:r>
        <w:rPr>
          <w:rFonts w:asciiTheme="minorHAnsi" w:eastAsia="Calibri" w:hAnsiTheme="minorHAnsi"/>
        </w:rPr>
        <w:t xml:space="preserve">. We chose these two species as they represent two well-studied primate social systems: </w:t>
      </w:r>
      <w:r w:rsidR="0073734E">
        <w:rPr>
          <w:rFonts w:asciiTheme="minorHAnsi" w:eastAsia="Calibri" w:hAnsiTheme="minorHAnsi"/>
        </w:rPr>
        <w:t xml:space="preserve">Sooty mangabeys have philopatric females who form linear, despotic, stable matrilineal hierarchies </w:t>
      </w:r>
      <w:r w:rsidR="0073734E">
        <w:rPr>
          <w:rFonts w:asciiTheme="minorHAnsi" w:eastAsia="Calibri" w:hAnsiTheme="minorHAnsi"/>
        </w:rPr>
        <w:fldChar w:fldCharType="begin" w:fldLock="1"/>
      </w:r>
      <w:r w:rsidR="00826E7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Pr>
          <w:rFonts w:asciiTheme="minorHAnsi" w:eastAsia="Calibri" w:hAnsiTheme="minorHAnsi"/>
        </w:rPr>
        <w:fldChar w:fldCharType="separate"/>
      </w:r>
      <w:r w:rsidR="004A57E7" w:rsidRPr="004A57E7">
        <w:rPr>
          <w:rFonts w:asciiTheme="minorHAnsi" w:eastAsia="Calibri" w:hAnsiTheme="minorHAnsi"/>
          <w:noProof/>
        </w:rPr>
        <w:t>(Mielke et al., 2017, 2018; Range, 2006; Range &amp; Noë, 2002)</w:t>
      </w:r>
      <w:r w:rsidR="0073734E">
        <w:rPr>
          <w:rFonts w:asciiTheme="minorHAnsi" w:eastAsia="Calibri" w:hAnsiTheme="minorHAnsi"/>
        </w:rPr>
        <w:fldChar w:fldCharType="end"/>
      </w:r>
      <w:r w:rsidR="0073734E">
        <w:rPr>
          <w:rFonts w:asciiTheme="minorHAnsi" w:eastAsia="Calibri" w:hAnsiTheme="minorHAnsi"/>
        </w:rPr>
        <w:t xml:space="preserve">. All interaction types are predicted to show high consistency, as they should be influenced strongly by stable parameters, especially kinship, dominance rank, and sex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(Range &amp; Noë, 2002)</w:t>
      </w:r>
      <w:r w:rsidR="0073734E">
        <w:rPr>
          <w:rFonts w:asciiTheme="minorHAnsi" w:eastAsia="Calibri" w:hAnsiTheme="minorHAnsi"/>
        </w:rPr>
        <w:fldChar w:fldCharType="end"/>
      </w:r>
      <w:r w:rsidR="0073734E">
        <w:rPr>
          <w:rFonts w:asciiTheme="minorHAnsi" w:eastAsia="Calibri" w:hAnsiTheme="minorHAnsi"/>
        </w:rPr>
        <w:t xml:space="preserve">. </w:t>
      </w:r>
      <w:commentRangeStart w:id="13"/>
      <w:r w:rsidR="0073734E">
        <w:rPr>
          <w:rFonts w:asciiTheme="minorHAnsi" w:eastAsia="Calibri" w:hAnsiTheme="minorHAnsi"/>
        </w:rPr>
        <w:t xml:space="preserve">Chimpanzees form male philopatric societies with stable linear hierarchies, but aggression in Taï is frequently directed up the dominance hierarchy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(Wittig &amp; Boesch, 2003)</w:t>
      </w:r>
      <w:r w:rsidR="0073734E">
        <w:rPr>
          <w:rFonts w:asciiTheme="minorHAnsi" w:eastAsia="Calibri" w:hAnsiTheme="minorHAnsi"/>
        </w:rPr>
        <w:fldChar w:fldCharType="end"/>
      </w:r>
      <w:r w:rsidR="0073734E">
        <w:rPr>
          <w:rFonts w:asciiTheme="minorHAnsi" w:eastAsia="Calibri" w:hAnsiTheme="minorHAnsi"/>
        </w:rPr>
        <w:t xml:space="preserve">. We observed rank changes in both sexes in the study period </w:t>
      </w:r>
      <w:r w:rsidR="0073734E">
        <w:rPr>
          <w:rFonts w:asciiTheme="minorHAnsi" w:eastAsia="Calibri" w:hAnsiTheme="minorHAnsi"/>
        </w:rPr>
        <w:fldChar w:fldCharType="begin" w:fldLock="1"/>
      </w:r>
      <w:r w:rsidR="00F41459">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Pr>
          <w:rFonts w:asciiTheme="minorHAnsi" w:eastAsia="Calibri" w:hAnsiTheme="minorHAnsi"/>
        </w:rPr>
        <w:fldChar w:fldCharType="separate"/>
      </w:r>
      <w:r w:rsidR="0036699B" w:rsidRPr="0036699B">
        <w:rPr>
          <w:rFonts w:asciiTheme="minorHAnsi" w:eastAsia="Calibri" w:hAnsiTheme="minorHAnsi"/>
          <w:noProof/>
        </w:rPr>
        <w:t>(Mielke et al., 2019; Preis et al., 2019)</w:t>
      </w:r>
      <w:r w:rsidR="0073734E">
        <w:rPr>
          <w:rFonts w:asciiTheme="minorHAnsi" w:eastAsia="Calibri" w:hAnsiTheme="minorHAnsi"/>
        </w:rPr>
        <w:fldChar w:fldCharType="end"/>
      </w:r>
      <w:r w:rsidR="0073734E">
        <w:rPr>
          <w:rFonts w:asciiTheme="minorHAnsi" w:eastAsia="Calibri" w:hAnsiTheme="minorHAnsi"/>
        </w:rPr>
        <w:t xml:space="preserve">. However, enduring social bonds have been described for both sexes in chimpanzees </w:t>
      </w:r>
      <w:r w:rsidR="0073734E">
        <w:rPr>
          <w:rFonts w:asciiTheme="minorHAnsi" w:eastAsia="Calibri" w:hAnsiTheme="minorHAnsi"/>
        </w:rPr>
        <w:fldChar w:fldCharType="begin" w:fldLock="1"/>
      </w:r>
      <w:r w:rsidR="00C624CE">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Pr>
          <w:rFonts w:asciiTheme="minorHAnsi" w:eastAsia="Calibri" w:hAnsiTheme="minorHAnsi"/>
        </w:rPr>
        <w:fldChar w:fldCharType="separate"/>
      </w:r>
      <w:r w:rsidR="0073734E" w:rsidRPr="0073734E">
        <w:rPr>
          <w:rFonts w:asciiTheme="minorHAnsi" w:eastAsia="Calibri" w:hAnsiTheme="minorHAnsi"/>
          <w:noProof/>
        </w:rPr>
        <w:t>(Foerster et al., 2015; Lehmann &amp; Boesch, 2009; Mitani, 2009)</w:t>
      </w:r>
      <w:r w:rsidR="0073734E">
        <w:rPr>
          <w:rFonts w:asciiTheme="minorHAnsi" w:eastAsia="Calibri" w:hAnsiTheme="minorHAnsi"/>
        </w:rPr>
        <w:fldChar w:fldCharType="end"/>
      </w:r>
      <w:r w:rsidR="0073734E">
        <w:rPr>
          <w:rFonts w:asciiTheme="minorHAnsi" w:eastAsia="Calibri" w:hAnsiTheme="minorHAnsi"/>
        </w:rPr>
        <w:t>, so at least some of the relationships of each individual are predicted to fall into clear relationship types.</w:t>
      </w:r>
      <w:r>
        <w:rPr>
          <w:rFonts w:asciiTheme="minorHAnsi" w:eastAsia="Calibri" w:hAnsiTheme="minorHAnsi"/>
        </w:rPr>
        <w:t xml:space="preserve"> </w:t>
      </w:r>
      <w:commentRangeEnd w:id="13"/>
      <w:r w:rsidR="003601E1">
        <w:rPr>
          <w:rStyle w:val="CommentReference"/>
        </w:rPr>
        <w:commentReference w:id="13"/>
      </w:r>
      <w:r w:rsidR="0073734E">
        <w:rPr>
          <w:rFonts w:asciiTheme="minorHAnsi" w:eastAsia="Calibri" w:hAnsiTheme="minorHAnsi"/>
        </w:rPr>
        <w:t>We develop</w:t>
      </w:r>
      <w:ins w:id="14" w:author="anna" w:date="2020-05-16T21:13:00Z">
        <w:r w:rsidR="003601E1">
          <w:rPr>
            <w:rFonts w:asciiTheme="minorHAnsi" w:eastAsia="Calibri" w:hAnsiTheme="minorHAnsi"/>
          </w:rPr>
          <w:t>ed</w:t>
        </w:r>
      </w:ins>
      <w:r w:rsidR="0073734E">
        <w:rPr>
          <w:rFonts w:asciiTheme="minorHAnsi" w:eastAsia="Calibri" w:hAnsiTheme="minorHAnsi"/>
        </w:rPr>
        <w:t xml:space="preserve"> the consistency measures with two aims: a) to identify interaction types were data distributions are likely unreliable due to insufficient data; and b) to compare chimpanzees and mangabeys, and different interaction types within species, regarding their consistency, as an indicator of predictability.</w:t>
      </w:r>
    </w:p>
    <w:p w14:paraId="09D71CC3" w14:textId="77777777" w:rsidR="00CC4A8D" w:rsidRPr="00C60AF1" w:rsidRDefault="00CC4A8D" w:rsidP="00C60AF1">
      <w:pPr>
        <w:spacing w:before="120" w:line="480" w:lineRule="auto"/>
        <w:ind w:left="0" w:hanging="2"/>
        <w:jc w:val="both"/>
        <w:rPr>
          <w:rFonts w:asciiTheme="minorHAnsi" w:eastAsia="Calibri" w:hAnsiTheme="minorHAnsi"/>
        </w:rPr>
      </w:pPr>
    </w:p>
    <w:p w14:paraId="1C77134C" w14:textId="77777777" w:rsidR="00CC4A8D"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b/>
        </w:rPr>
        <w:t>METHODS</w:t>
      </w:r>
    </w:p>
    <w:p w14:paraId="1F2C15C4"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Consistency measure</w:t>
      </w:r>
    </w:p>
    <w:p w14:paraId="794BBACB" w14:textId="77777777" w:rsidR="001F641A" w:rsidRDefault="001F641A" w:rsidP="001F641A">
      <w:pPr>
        <w:spacing w:line="480" w:lineRule="auto"/>
        <w:ind w:leftChars="0" w:left="0" w:firstLineChars="0" w:firstLine="0"/>
        <w:jc w:val="both"/>
        <w:rPr>
          <w:rFonts w:asciiTheme="minorHAnsi" w:eastAsia="Calibri" w:hAnsiTheme="minorHAnsi"/>
          <w:color w:val="auto"/>
        </w:rPr>
      </w:pPr>
      <w:r>
        <w:rPr>
          <w:rFonts w:asciiTheme="minorHAnsi" w:eastAsia="Calibri" w:hAnsiTheme="minorHAnsi"/>
          <w:color w:val="auto"/>
        </w:rPr>
        <w:lastRenderedPageBreak/>
        <w:t xml:space="preserve">To quantify consistency in an interaction type, we structure data by collection days. Each observation day is randomly assigned to one of two datasets of equal size </w:t>
      </w:r>
      <w:r>
        <w:rPr>
          <w:rFonts w:asciiTheme="minorHAnsi" w:eastAsia="Calibri" w:hAnsiTheme="minorHAnsi"/>
          <w:color w:val="auto"/>
        </w:rPr>
        <w:fldChar w:fldCharType="begin" w:fldLock="1"/>
      </w:r>
      <w:r>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color w:val="auto"/>
        </w:rPr>
        <w:fldChar w:fldCharType="separate"/>
      </w:r>
      <w:r w:rsidRPr="00B244F2">
        <w:rPr>
          <w:rFonts w:asciiTheme="minorHAnsi" w:eastAsia="Calibri" w:hAnsiTheme="minorHAnsi"/>
          <w:noProof/>
          <w:color w:val="auto"/>
        </w:rPr>
        <w:t>(Sánchez-Tójar et al., 2018)</w:t>
      </w:r>
      <w:r>
        <w:rPr>
          <w:rFonts w:asciiTheme="minorHAnsi" w:eastAsia="Calibri" w:hAnsiTheme="minorHAnsi"/>
          <w:color w:val="auto"/>
        </w:rPr>
        <w:fldChar w:fldCharType="end"/>
      </w:r>
      <w:r>
        <w:rPr>
          <w:rFonts w:asciiTheme="minorHAnsi" w:eastAsia="Calibri" w:hAnsiTheme="minorHAnsi"/>
          <w:color w:val="auto"/>
        </w:rPr>
        <w:t xml:space="preserve">. We then </w:t>
      </w:r>
      <w:r w:rsidR="00C25E34">
        <w:rPr>
          <w:rFonts w:asciiTheme="minorHAnsi" w:eastAsia="Calibri" w:hAnsiTheme="minorHAnsi"/>
          <w:color w:val="auto"/>
        </w:rPr>
        <w:t>aggregate</w:t>
      </w:r>
      <w:r>
        <w:rPr>
          <w:rFonts w:asciiTheme="minorHAnsi" w:eastAsia="Calibri" w:hAnsiTheme="minorHAnsi"/>
          <w:color w:val="auto"/>
        </w:rPr>
        <w:t xml:space="preserve"> the interaction distribution of dyadic interactions per observation hour in each of the halves and calculate the non-parametric Spearman correlation between distributions. This allow</w:t>
      </w:r>
      <w:r w:rsidR="00C25E34">
        <w:rPr>
          <w:rFonts w:asciiTheme="minorHAnsi" w:eastAsia="Calibri" w:hAnsiTheme="minorHAnsi"/>
          <w:color w:val="auto"/>
        </w:rPr>
        <w:t>s</w:t>
      </w:r>
      <w:r>
        <w:rPr>
          <w:rFonts w:asciiTheme="minorHAnsi" w:eastAsia="Calibri" w:hAnsiTheme="minorHAnsi"/>
          <w:color w:val="auto"/>
        </w:rPr>
        <w:t xml:space="preserve"> us to estimate how well variation in one half predicts variation in the other. We repeat this procedure 100 times, with the median correlation coefficient constituting our measure of consistency for the full dataset. As we show through data simulations (below), very inconsistent results (median correlation values between two halves of the dataset below 0.5) are usually the result of very low data density, even if the underlying</w:t>
      </w:r>
      <w:r w:rsidR="00C25E34">
        <w:rPr>
          <w:rFonts w:asciiTheme="minorHAnsi" w:eastAsia="Calibri" w:hAnsiTheme="minorHAnsi"/>
          <w:color w:val="auto"/>
        </w:rPr>
        <w:t xml:space="preserve"> ‘real’</w:t>
      </w:r>
      <w:r>
        <w:rPr>
          <w:rFonts w:asciiTheme="minorHAnsi" w:eastAsia="Calibri" w:hAnsiTheme="minorHAnsi"/>
          <w:color w:val="auto"/>
        </w:rPr>
        <w:t xml:space="preserve"> distribution is highly consistent. Thus, if interaction types are highly inconsistent, it is unclear whether the collected data is representative for the actual distribution in the population, and whether any of the subsequent results meaningfully describe the behaviour of individuals in a community. </w:t>
      </w:r>
    </w:p>
    <w:p w14:paraId="6949FF98" w14:textId="336CB4E8" w:rsidR="001F641A" w:rsidRDefault="001F641A" w:rsidP="001F641A">
      <w:pPr>
        <w:spacing w:before="120" w:line="480" w:lineRule="auto"/>
        <w:ind w:left="0" w:hanging="2"/>
        <w:jc w:val="both"/>
        <w:rPr>
          <w:rFonts w:asciiTheme="minorHAnsi" w:eastAsia="Calibri" w:hAnsiTheme="minorHAnsi"/>
        </w:rPr>
      </w:pPr>
      <w:r>
        <w:rPr>
          <w:rFonts w:asciiTheme="minorHAnsi" w:eastAsia="Calibri" w:hAnsiTheme="minorHAnsi"/>
          <w:color w:val="auto"/>
        </w:rPr>
        <w:t xml:space="preserve">As the overall correlation between halves was dependent on the data density and community size, we report a standardised version here: We repeated the consistency analysis using randomly selected subsets of the data. We randomly selected a start date and duration for the period following that date and tested the consistency for this period for each interaction type, marking how many interactions per dyad this time period contained. For example, 10 individuals form 45 dyads; if we collect 180 aggressive events, we have a mean of 4 interactions/dyad. This way, we can compare frequent and infrequent interaction types, or datasets of different sizes. As a standardised consistency measure, we report the median number of interactions per dyad that were sufficient to reach a cut-off correlation between halves of 0.5 for each interaction type. This measure is largely independent of data density and community size (see Simulations), and </w:t>
      </w:r>
      <w:r>
        <w:rPr>
          <w:rFonts w:asciiTheme="minorHAnsi" w:eastAsia="Calibri" w:hAnsiTheme="minorHAnsi"/>
          <w:color w:val="auto"/>
        </w:rPr>
        <w:lastRenderedPageBreak/>
        <w:t>produces an interpretable result: how many interactions between two group members does an individual have to observe to reliably predict future interactions? Fewer interactions per dyads and a smaller standard deviation of values indicate higher consistency and thus higher predictability. Larger numbers of interactions per dyad and a large standard deviation indicate that interaction</w:t>
      </w:r>
      <w:r w:rsidR="00B31432">
        <w:rPr>
          <w:rFonts w:asciiTheme="minorHAnsi" w:eastAsia="Calibri" w:hAnsiTheme="minorHAnsi"/>
          <w:color w:val="auto"/>
        </w:rPr>
        <w:t xml:space="preserve"> patterns are harder to predict</w:t>
      </w:r>
      <w:r>
        <w:rPr>
          <w:rFonts w:asciiTheme="minorHAnsi" w:eastAsia="Calibri" w:hAnsiTheme="minorHAnsi"/>
          <w:color w:val="auto"/>
        </w:rPr>
        <w:t xml:space="preserve">. This can be either the case if partner choice </w:t>
      </w:r>
      <w:ins w:id="15" w:author="anna" w:date="2020-05-17T11:26:00Z">
        <w:r w:rsidR="0026051E">
          <w:rPr>
            <w:rFonts w:asciiTheme="minorHAnsi" w:eastAsia="Calibri" w:hAnsiTheme="minorHAnsi"/>
            <w:color w:val="auto"/>
          </w:rPr>
          <w:t xml:space="preserve">is </w:t>
        </w:r>
      </w:ins>
      <w:r w:rsidR="00B31432">
        <w:rPr>
          <w:rFonts w:asciiTheme="minorHAnsi" w:eastAsia="Calibri" w:hAnsiTheme="minorHAnsi"/>
          <w:color w:val="auto"/>
        </w:rPr>
        <w:t>less deterministic</w:t>
      </w:r>
      <w:r>
        <w:rPr>
          <w:rFonts w:asciiTheme="minorHAnsi" w:eastAsia="Calibri" w:hAnsiTheme="minorHAnsi"/>
          <w:color w:val="auto"/>
        </w:rPr>
        <w:t xml:space="preserve"> for this interaction type, or if the choice patterns change throughout the study period. </w:t>
      </w:r>
      <w:r>
        <w:rPr>
          <w:rFonts w:asciiTheme="minorHAnsi" w:eastAsia="Calibri" w:hAnsiTheme="minorHAnsi"/>
        </w:rPr>
        <w:t>All described analyses were conducted in R 3.5.1 (R Development Team 2017).</w:t>
      </w:r>
    </w:p>
    <w:p w14:paraId="56DF622E" w14:textId="77777777" w:rsidR="00C25E34" w:rsidRDefault="00C25E34" w:rsidP="001F641A">
      <w:pPr>
        <w:spacing w:before="120" w:line="480" w:lineRule="auto"/>
        <w:ind w:left="0" w:hanging="2"/>
        <w:jc w:val="both"/>
        <w:rPr>
          <w:rFonts w:asciiTheme="minorHAnsi" w:eastAsia="Calibri" w:hAnsiTheme="minorHAnsi"/>
          <w:i/>
          <w:iCs/>
        </w:rPr>
      </w:pPr>
    </w:p>
    <w:p w14:paraId="52C65122"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Simulations</w:t>
      </w:r>
    </w:p>
    <w:p w14:paraId="1D2357B3" w14:textId="77777777" w:rsidR="001F641A" w:rsidRPr="00A54CD6" w:rsidRDefault="001F641A" w:rsidP="001F641A">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 xml:space="preserve">We present the impact of different group sizes, data densities, </w:t>
      </w:r>
      <w:r w:rsidR="00F2111F">
        <w:rPr>
          <w:rFonts w:asciiTheme="minorHAnsi" w:eastAsia="Calibri" w:hAnsiTheme="minorHAnsi"/>
          <w:color w:val="auto"/>
        </w:rPr>
        <w:t>repeatability</w:t>
      </w:r>
      <w:r>
        <w:rPr>
          <w:rFonts w:asciiTheme="minorHAnsi" w:eastAsia="Calibri" w:hAnsiTheme="minorHAnsi"/>
          <w:color w:val="auto"/>
        </w:rPr>
        <w:t xml:space="preserve"> of partner choice, and changes in underlying relationships in simulated datasets on our consistency measure and show how it can be used to compare consistency across communities of different sizes. </w:t>
      </w:r>
      <w:r w:rsidRPr="00A54CD6">
        <w:rPr>
          <w:rFonts w:asciiTheme="minorHAnsi" w:eastAsia="Calibri" w:hAnsiTheme="minorHAnsi"/>
          <w:color w:val="auto"/>
        </w:rPr>
        <w:t xml:space="preserve">Consistency should be high if individuals regularly choose the same partners for the same interaction type. Low consistency should arise if individuals show weak partner preference or preference changes over time. To test how our consistency measure behaved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primate communities. </w:t>
      </w:r>
    </w:p>
    <w:p w14:paraId="6FE83967" w14:textId="77777777" w:rsidR="001F641A" w:rsidRPr="00A54CD6" w:rsidRDefault="001F641A" w:rsidP="00F2111F">
      <w:pPr>
        <w:spacing w:line="480" w:lineRule="auto"/>
        <w:ind w:leftChars="0" w:firstLineChars="0" w:firstLine="0"/>
        <w:jc w:val="both"/>
        <w:rPr>
          <w:rFonts w:asciiTheme="minorHAnsi" w:eastAsia="Calibri" w:hAnsiTheme="minorHAnsi"/>
          <w:color w:val="auto"/>
        </w:rPr>
      </w:pPr>
      <w:r w:rsidRPr="00A54CD6">
        <w:rPr>
          <w:rFonts w:asciiTheme="minorHAnsi" w:eastAsia="Calibri" w:hAnsiTheme="minorHAnsi"/>
          <w:color w:val="auto"/>
        </w:rPr>
        <w:t xml:space="preserve">We created datasets for 10, 15, and 20 individuals in a community, for one nonspecific interaction type over a simulated time period of one year. We randomly assigned each individual between </w:t>
      </w:r>
      <w:r w:rsidRPr="00A54CD6">
        <w:rPr>
          <w:rFonts w:asciiTheme="minorHAnsi" w:eastAsia="Calibri" w:hAnsiTheme="minorHAnsi"/>
          <w:color w:val="auto"/>
        </w:rPr>
        <w:lastRenderedPageBreak/>
        <w:t xml:space="preserve">one and </w:t>
      </w:r>
      <w:r w:rsidR="00C25E34">
        <w:rPr>
          <w:rFonts w:asciiTheme="minorHAnsi" w:eastAsia="Calibri" w:hAnsiTheme="minorHAnsi"/>
          <w:color w:val="auto"/>
        </w:rPr>
        <w:t>seven</w:t>
      </w:r>
      <w:r w:rsidRPr="00A54CD6">
        <w:rPr>
          <w:rFonts w:asciiTheme="minorHAnsi" w:eastAsia="Calibri" w:hAnsiTheme="minorHAnsi"/>
          <w:color w:val="auto"/>
        </w:rPr>
        <w:t xml:space="preserve"> interactions per day, and each interaction took place in a “party” containing a randomly chosen number of group members. Each dyad was assigned a random likelihood to interact with each other, with three different stereotypy levels: “high certainty” (each individual has strong preference for a </w:t>
      </w:r>
      <w:r w:rsidR="000B026E">
        <w:rPr>
          <w:rFonts w:asciiTheme="minorHAnsi" w:eastAsia="Calibri" w:hAnsiTheme="minorHAnsi"/>
          <w:color w:val="auto"/>
        </w:rPr>
        <w:t>few group members, always chooses those when they are available</w:t>
      </w:r>
      <w:r w:rsidRPr="00A54CD6">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Based on these dyadic values, one of the individuals in the “party” was selected as interaction partner. We included </w:t>
      </w:r>
      <w:r w:rsidR="00F2111F">
        <w:rPr>
          <w:rFonts w:asciiTheme="minorHAnsi" w:eastAsia="Calibri" w:hAnsiTheme="minorHAnsi"/>
          <w:color w:val="auto"/>
        </w:rPr>
        <w:t>three</w:t>
      </w:r>
      <w:r w:rsidRPr="00A54CD6">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mirroring changes in relationship quality, the likelihood to choose a partner was reversed halfway through data collection, so dyads with a 0.95 likelihood of interacting in the first half had a 0.05 likelihood of interacting in the second half of data collection. In the </w:t>
      </w:r>
      <w:r w:rsidR="00F2111F">
        <w:rPr>
          <w:rFonts w:asciiTheme="minorHAnsi" w:eastAsia="Calibri" w:hAnsiTheme="minorHAnsi"/>
          <w:color w:val="auto"/>
        </w:rPr>
        <w:t>third</w:t>
      </w:r>
      <w:r w:rsidRPr="00A54CD6">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2189554B" w:rsidR="001F641A" w:rsidRDefault="001F641A" w:rsidP="001F641A">
      <w:pPr>
        <w:spacing w:line="480" w:lineRule="auto"/>
        <w:ind w:leftChars="0" w:left="0" w:firstLineChars="0" w:firstLine="0"/>
        <w:jc w:val="both"/>
        <w:rPr>
          <w:rFonts w:asciiTheme="minorHAnsi" w:eastAsia="Calibri" w:hAnsiTheme="minorHAnsi"/>
          <w:color w:val="auto"/>
        </w:rPr>
      </w:pPr>
      <w:r w:rsidRPr="00A54CD6">
        <w:rPr>
          <w:rFonts w:asciiTheme="minorHAnsi" w:eastAsia="Calibri" w:hAnsiTheme="minorHAnsi"/>
          <w:color w:val="auto"/>
        </w:rPr>
        <w:t xml:space="preserve">Following this procedure, we created </w:t>
      </w:r>
      <w:r w:rsidR="000B026E">
        <w:rPr>
          <w:rFonts w:asciiTheme="minorHAnsi" w:eastAsia="Calibri" w:hAnsiTheme="minorHAnsi"/>
          <w:color w:val="auto"/>
        </w:rPr>
        <w:t>108</w:t>
      </w:r>
      <w:r w:rsidRPr="00A54CD6">
        <w:rPr>
          <w:rFonts w:asciiTheme="minorHAnsi" w:eastAsia="Calibri" w:hAnsiTheme="minorHAnsi"/>
          <w:color w:val="auto"/>
        </w:rPr>
        <w:t xml:space="preserve"> simulated datasets (</w:t>
      </w:r>
      <w:r w:rsidR="000B026E">
        <w:rPr>
          <w:rFonts w:asciiTheme="minorHAnsi" w:eastAsia="Calibri" w:hAnsiTheme="minorHAnsi"/>
          <w:color w:val="auto"/>
        </w:rPr>
        <w:t>three</w:t>
      </w:r>
      <w:r w:rsidRPr="00A54CD6">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Crofoot, &amp; Farine, 2018): for each day of the sampling period, one individual was chosen as the “focal” individual whose data was retained, as would be the case in most primate datasets. We assumed a twelve-hour observation period per focal day, to calculate interaction rates. Then we simulated that data collection took place every day, 66% of days, or every third day</w:t>
      </w:r>
      <w:ins w:id="16" w:author="anna" w:date="2020-05-17T11:31:00Z">
        <w:r w:rsidR="00DD238A">
          <w:rPr>
            <w:rFonts w:asciiTheme="minorHAnsi" w:eastAsia="Calibri" w:hAnsiTheme="minorHAnsi"/>
            <w:color w:val="auto"/>
          </w:rPr>
          <w:t xml:space="preserve"> (33%)</w:t>
        </w:r>
      </w:ins>
      <w:r w:rsidRPr="00A54CD6">
        <w:rPr>
          <w:rFonts w:asciiTheme="minorHAnsi" w:eastAsia="Calibri" w:hAnsiTheme="minorHAnsi"/>
          <w:color w:val="auto"/>
        </w:rPr>
        <w:t xml:space="preserve">, to test which impact low data collection density had </w:t>
      </w:r>
      <w:r w:rsidRPr="00A54CD6">
        <w:rPr>
          <w:rFonts w:asciiTheme="minorHAnsi" w:eastAsia="Calibri" w:hAnsiTheme="minorHAnsi"/>
          <w:color w:val="auto"/>
        </w:rPr>
        <w:lastRenderedPageBreak/>
        <w:t xml:space="preserve">on the consistency measure. We therefore retained </w:t>
      </w:r>
      <w:r w:rsidR="000B026E">
        <w:rPr>
          <w:rFonts w:asciiTheme="minorHAnsi" w:eastAsia="Calibri" w:hAnsiTheme="minorHAnsi"/>
          <w:color w:val="auto"/>
        </w:rPr>
        <w:t>324</w:t>
      </w:r>
      <w:r w:rsidRPr="00A54CD6">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10 times.</w:t>
      </w:r>
    </w:p>
    <w:p w14:paraId="01D00B5C" w14:textId="77777777" w:rsidR="001F641A"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Default="00B244F2">
      <w:pPr>
        <w:widowControl/>
        <w:spacing w:before="120" w:after="200" w:line="480" w:lineRule="auto"/>
        <w:ind w:left="0" w:hanging="2"/>
        <w:jc w:val="both"/>
        <w:rPr>
          <w:rFonts w:asciiTheme="minorHAnsi" w:eastAsia="Calibri" w:hAnsiTheme="minorHAnsi"/>
        </w:rPr>
      </w:pPr>
      <w:r>
        <w:rPr>
          <w:rFonts w:asciiTheme="minorHAnsi" w:eastAsia="Calibri" w:hAnsiTheme="minorHAnsi"/>
          <w:i/>
        </w:rPr>
        <w:t>Data Collection</w:t>
      </w:r>
    </w:p>
    <w:p w14:paraId="1BA5589F" w14:textId="77777777" w:rsidR="00C60AF1" w:rsidRDefault="00B244F2" w:rsidP="00C60AF1">
      <w:pPr>
        <w:spacing w:before="120" w:line="480" w:lineRule="auto"/>
        <w:ind w:left="0" w:hanging="2"/>
        <w:jc w:val="both"/>
        <w:rPr>
          <w:rFonts w:asciiTheme="minorHAnsi" w:eastAsia="Calibri" w:hAnsiTheme="minorHAnsi"/>
        </w:rPr>
      </w:pPr>
      <w:r>
        <w:rPr>
          <w:rFonts w:asciiTheme="minorHAnsi" w:eastAsia="Calibri" w:hAnsiTheme="minorHAnsi"/>
        </w:rPr>
        <w:t xml:space="preserve">Behavioural data were collected in Taï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2000)","plainTextFormattedCitation":"(Boesch &amp; Boesch-Achermann, 2000)","previouslyFormattedCitation":"(Boesch &amp; Boesch-Achermann,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(Boesch &amp; Boesch-Achermann, 2000)</w:t>
      </w:r>
      <w:r>
        <w:rPr>
          <w:rFonts w:asciiTheme="minorHAnsi" w:eastAsia="Calibri" w:hAnsiTheme="minorHAnsi"/>
        </w:rPr>
        <w:fldChar w:fldCharType="end"/>
      </w:r>
      <w:r>
        <w:rPr>
          <w:rFonts w:asciiTheme="minorHAnsi" w:eastAsia="Calibri" w:hAnsiTheme="minorHAnsi"/>
        </w:rPr>
        <w:t xml:space="preserve"> from October 2013 to July 2015 for the chimpanzees and January 2014 to September 2015 for the mangabeys, using half- and full-day continuous focal animal sampling </w:t>
      </w:r>
      <w:r>
        <w:rPr>
          <w:rFonts w:asciiTheme="minorHAnsi" w:eastAsia="Calibri" w:hAnsiTheme="minorHAnsi"/>
        </w:rPr>
        <w:fldChar w:fldCharType="begin" w:fldLock="1"/>
      </w:r>
      <w:r>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(Altmann, 1974)</w:t>
      </w:r>
      <w:r>
        <w:rPr>
          <w:rFonts w:asciiTheme="minorHAnsi" w:eastAsia="Calibri" w:hAnsiTheme="minorHAnsi"/>
        </w:rPr>
        <w:fldChar w:fldCharType="end"/>
      </w:r>
      <w:r>
        <w:rPr>
          <w:rFonts w:asciiTheme="minorHAnsi" w:eastAsia="Calibri" w:hAnsiTheme="minorHAnsi"/>
        </w:rPr>
        <w:t xml:space="preserve"> for the chimpanzees, and half-day and one-hour focal animal sampling for the mangabeys. Trained observers (AM, JFG, AP, LS) and field assistants recorded all social interactions of adult male and female chimpanzees (above 12 years of age) in the “South” (AM, AP, LS) and “East” (AP, LS) communities and adult (above 5 years) sooty mangabeys (AM, JFG). This resulted in 6441h of focal observations in South community, 5668h for East community, and 2259h for the mangabey community. We included adult individuals of both sexes in all three communities for whom sufficient focal data (at least 50 social interactions observed as focal individual) were available and who were present for at least 80% of the study period (South: 5 males, 7 females; East: 5 males, 7 females; mangabeys: 6 males, 17 females). All non-adult group members in all communities were excluded due to insufficient focal follow data in the study period, despite the impact they probably would have on all presented measures </w:t>
      </w:r>
      <w:r>
        <w:rPr>
          <w:rFonts w:asciiTheme="minorHAnsi" w:eastAsia="Calibri" w:hAnsiTheme="minorHAnsi"/>
        </w:rPr>
        <w:fldChar w:fldCharType="begin" w:fldLock="1"/>
      </w:r>
      <w:r>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(Fedurek &amp; Lehmann, 2017)</w:t>
      </w:r>
      <w:r>
        <w:rPr>
          <w:rFonts w:asciiTheme="minorHAnsi" w:eastAsia="Calibri" w:hAnsiTheme="minorHAnsi"/>
        </w:rPr>
        <w:fldChar w:fldCharType="end"/>
      </w:r>
      <w:r>
        <w:rPr>
          <w:rFonts w:asciiTheme="minorHAnsi" w:eastAsia="Calibri" w:hAnsiTheme="minorHAnsi"/>
        </w:rPr>
        <w:t xml:space="preserve">. </w:t>
      </w:r>
    </w:p>
    <w:p w14:paraId="31457BCB" w14:textId="6E17C8C8" w:rsidR="007F255C"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From the behavioural data, we extracted the duration of grooming sent and received, resting or </w:t>
      </w:r>
      <w:r>
        <w:rPr>
          <w:rFonts w:asciiTheme="minorHAnsi" w:eastAsia="Calibri" w:hAnsiTheme="minorHAnsi"/>
        </w:rPr>
        <w:lastRenderedPageBreak/>
        <w:t xml:space="preserve">foraging in less than 1m distance from the partner (“body contact”: used as a continuous measure with duration in the chimpanzees and an event variable in the mangabeys), resting or foraging as nearest neighbour between 1m and 3m distance (“proximity”), and both contact and noncontact aggressive interactions with one clear recipient </w:t>
      </w:r>
      <w:r>
        <w:rPr>
          <w:rFonts w:asciiTheme="minorHAnsi" w:eastAsia="Calibri" w:hAnsiTheme="minorHAnsi"/>
        </w:rPr>
        <w:fldChar w:fldCharType="begin" w:fldLock="1"/>
      </w:r>
      <w:r>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(Preis et al., 2018)</w:t>
      </w:r>
      <w:r>
        <w:rPr>
          <w:rFonts w:asciiTheme="minorHAnsi" w:eastAsia="Calibri" w:hAnsiTheme="minorHAnsi"/>
        </w:rPr>
        <w:fldChar w:fldCharType="end"/>
      </w:r>
      <w:r>
        <w:rPr>
          <w:rFonts w:asciiTheme="minorHAnsi" w:eastAsia="Calibri" w:hAnsiTheme="minorHAnsi"/>
        </w:rPr>
        <w:t xml:space="preserve">. For the chimpanzee communities, we included food sharing </w:t>
      </w:r>
      <w:r>
        <w:rPr>
          <w:rFonts w:asciiTheme="minorHAnsi" w:eastAsia="Calibri" w:hAnsiTheme="minorHAnsi"/>
        </w:rPr>
        <w:fldChar w:fldCharType="begin" w:fldLock="1"/>
      </w:r>
      <w:r>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(Samuni et al., 2018)</w:t>
      </w:r>
      <w:r>
        <w:rPr>
          <w:rFonts w:asciiTheme="minorHAnsi" w:eastAsia="Calibri" w:hAnsiTheme="minorHAnsi"/>
        </w:rPr>
        <w:fldChar w:fldCharType="end"/>
      </w:r>
      <w:r>
        <w:rPr>
          <w:rFonts w:asciiTheme="minorHAnsi" w:eastAsia="Calibri" w:hAnsiTheme="minorHAnsi"/>
        </w:rPr>
        <w:t xml:space="preserve">, which was not regularly observed in the mangabeys. We </w:t>
      </w:r>
      <w:ins w:id="17" w:author="anna" w:date="2020-05-17T11:35:00Z">
        <w:r w:rsidR="00DD238A">
          <w:rPr>
            <w:rFonts w:asciiTheme="minorHAnsi" w:eastAsia="Calibri" w:hAnsiTheme="minorHAnsi"/>
          </w:rPr>
          <w:t xml:space="preserve">included </w:t>
        </w:r>
      </w:ins>
      <w:r>
        <w:rPr>
          <w:rFonts w:asciiTheme="minorHAnsi" w:eastAsia="Calibri" w:hAnsiTheme="minorHAnsi"/>
        </w:rPr>
        <w:t xml:space="preserve">pant grunt vocalisations in chimpanzees and </w:t>
      </w:r>
      <w:r w:rsidR="000A152C">
        <w:rPr>
          <w:rFonts w:asciiTheme="minorHAnsi" w:eastAsia="Calibri" w:hAnsiTheme="minorHAnsi"/>
        </w:rPr>
        <w:t xml:space="preserve">feeding </w:t>
      </w:r>
      <w:r>
        <w:rPr>
          <w:rFonts w:asciiTheme="minorHAnsi" w:eastAsia="Calibri" w:hAnsiTheme="minorHAnsi"/>
        </w:rPr>
        <w:t xml:space="preserve">supplants in mangabeys. Mutual interactions were coded as interaction given and received. We treated body contact and proximity as interaction types with the assumption that both individuals have to show sufficient tolerance to allow the other one to remain close.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each individual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Pr>
          <w:rFonts w:asciiTheme="minorHAnsi" w:eastAsia="Calibri" w:hAnsiTheme="minorHAnsi"/>
        </w:rPr>
        <w:fldChar w:fldCharType="begin" w:fldLock="1"/>
      </w:r>
      <w:r>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(Moscovice et al., 2017)</w:t>
      </w:r>
      <w:r>
        <w:rPr>
          <w:rFonts w:asciiTheme="minorHAnsi" w:eastAsia="Calibri" w:hAnsiTheme="minorHAnsi"/>
        </w:rPr>
        <w:fldChar w:fldCharType="end"/>
      </w:r>
      <w:r>
        <w:rPr>
          <w:rFonts w:asciiTheme="minorHAnsi" w:eastAsia="Calibri" w:hAnsiTheme="minorHAnsi"/>
        </w:rPr>
        <w:t xml:space="preserve">, because </w:t>
      </w:r>
      <w:r w:rsidR="00C60AF1">
        <w:rPr>
          <w:rFonts w:asciiTheme="minorHAnsi" w:eastAsia="Calibri" w:hAnsiTheme="minorHAnsi"/>
        </w:rPr>
        <w:t>t</w:t>
      </w:r>
      <w:r>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chimpanzees were collected by a subset of observers and were standardised based on the focal observation time provided by those observers. </w:t>
      </w:r>
    </w:p>
    <w:p w14:paraId="51AADEC8" w14:textId="77777777" w:rsidR="00CC4A8D"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Default="00B244F2">
      <w:pPr>
        <w:spacing w:before="120" w:line="480" w:lineRule="auto"/>
        <w:ind w:leftChars="0" w:firstLineChars="0" w:firstLine="0"/>
        <w:jc w:val="both"/>
        <w:rPr>
          <w:rFonts w:asciiTheme="minorHAnsi" w:eastAsia="Calibri" w:hAnsiTheme="minorHAnsi"/>
          <w:b/>
        </w:rPr>
      </w:pPr>
      <w:r>
        <w:rPr>
          <w:rFonts w:asciiTheme="minorHAnsi" w:eastAsia="Calibri" w:hAnsiTheme="minorHAnsi"/>
          <w:b/>
        </w:rPr>
        <w:lastRenderedPageBreak/>
        <w:t>RESULTS</w:t>
      </w:r>
    </w:p>
    <w:p w14:paraId="3B80F677" w14:textId="77777777" w:rsidR="004C6F03" w:rsidRDefault="004C6F03">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Simulations</w:t>
      </w:r>
    </w:p>
    <w:p w14:paraId="5D7C078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We are looking for a consistency measure that can identify differences in stereotypy of partner choice and changes in interaction preference, while being independent of group size and data collection effort. We therefore present the Spearman rank correlation coefficient given the average number of interactions per dyad that were included in the dataset. The results for a dataset with medium certainty and no changes in partner preference, but with different numbers of individuals and different sampling effort can be found in Fig. S1. The consistency measure behaved the same independent of community size, even though larger communities had more dyads and therefore fewer interactions per dyad in the same period, and therefore reached a lower overall consistency. Also, datasets of different densities behaved the same way, but lower data density was indicated by lower overall consistency. This led us to two conclusions: the overall consistency of the full dataset cannot be interpreted by itself, as it is highly dependent on group size and data collection effort. However, it can be used to identify datasets in which there is simply not enough data available to make any statement about the underlying distribution of an interaction type. This is coherent with simulations showing that social network data becomes unreliable if data density per dyad sinks below a certain level (Whitehead, 2008).</w:t>
      </w:r>
    </w:p>
    <w:p w14:paraId="7A3986C7" w14:textId="4F5FA68E"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 xml:space="preserve"> </w:t>
      </w:r>
      <w:commentRangeStart w:id="18"/>
      <w:r w:rsidR="00322DB3">
        <w:rPr>
          <w:rFonts w:asciiTheme="minorHAnsi" w:eastAsia="Calibri" w:hAnsiTheme="minorHAnsi"/>
          <w:bCs/>
          <w:iCs/>
          <w:noProof/>
        </w:rPr>
        <w:drawing>
          <wp:inline distT="0" distB="0" distL="0" distR="0" wp14:anchorId="238569E2" wp14:editId="3A04EE76">
            <wp:extent cx="5486400" cy="73152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commentRangeEnd w:id="18"/>
      <w:r w:rsidR="00B75DE0">
        <w:rPr>
          <w:rStyle w:val="CommentReference"/>
        </w:rPr>
        <w:commentReference w:id="18"/>
      </w:r>
    </w:p>
    <w:p w14:paraId="0BF47E1A" w14:textId="2F7D886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Figure 1: Results of the data simulation with varying group size and data collection density, while having medium stereotypy of partner preference and no preference changes throughout the dataset.</w:t>
      </w:r>
    </w:p>
    <w:p w14:paraId="3D965E0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4CA1D6F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To test how the stereotypy of partner choice influenced the consistency measure, we present the results for the three different conditions (high, medium, low certainty) for datasets containing 15 group members, 100% data density, and no changes in preference throughout the sampling period (Fig. S2). Our results show that the consistency measure differentiates between the conditions, but again not with the overall consistency, but the slope at which this consistency is reached. If partner choice is highly stereotypical, already a small number of interactions was sufficient to predict partner choice in half of the data with that of the other half; with increasing uncertainty, more interactions per dyad are necessary.</w:t>
      </w:r>
    </w:p>
    <w:p w14:paraId="77C0597B" w14:textId="67E3E3CC" w:rsid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p>
    <w:p w14:paraId="2CA6EC17" w14:textId="21A19A03" w:rsidR="00322DB3" w:rsidRPr="004C6F03" w:rsidRDefault="00322DB3" w:rsidP="004C6F03">
      <w:pPr>
        <w:spacing w:line="480" w:lineRule="auto"/>
        <w:ind w:leftChars="0" w:firstLineChars="0" w:firstLine="0"/>
        <w:jc w:val="both"/>
        <w:rPr>
          <w:rFonts w:asciiTheme="minorHAnsi" w:eastAsia="Calibri" w:hAnsiTheme="minorHAnsi"/>
          <w:bCs/>
          <w:iCs/>
        </w:rPr>
      </w:pPr>
      <w:r>
        <w:rPr>
          <w:rFonts w:asciiTheme="minorHAnsi" w:eastAsia="Calibri" w:hAnsiTheme="minorHAnsi"/>
          <w:bCs/>
          <w:iCs/>
          <w:noProof/>
        </w:rPr>
        <w:lastRenderedPageBreak/>
        <w:drawing>
          <wp:inline distT="0" distB="0" distL="0" distR="0" wp14:anchorId="4F9E3137" wp14:editId="40E12962">
            <wp:extent cx="5486400" cy="54864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935B3C7" w14:textId="7DEC1E00"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Figure 2: Results of the data simulation with varying stereotypy of dyadic preference, while having consistent group size, data density, and no preference changes throughout the dataset.</w:t>
      </w:r>
    </w:p>
    <w:p w14:paraId="0C3EA8F2"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5AE4029C" w14:textId="573745E3"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Last, we investigated how changes in partner preference over the study period would influence the consistency measure in a dataset with 15 individuals, 100% data density, and </w:t>
      </w:r>
      <w:r w:rsidR="00322DB3">
        <w:rPr>
          <w:rFonts w:asciiTheme="minorHAnsi" w:eastAsia="Calibri" w:hAnsiTheme="minorHAnsi"/>
          <w:bCs/>
          <w:iCs/>
        </w:rPr>
        <w:t>high</w:t>
      </w:r>
      <w:r w:rsidRPr="004C6F03">
        <w:rPr>
          <w:rFonts w:asciiTheme="minorHAnsi" w:eastAsia="Calibri" w:hAnsiTheme="minorHAnsi"/>
          <w:bCs/>
          <w:iCs/>
        </w:rPr>
        <w:t xml:space="preserve"> stereotypy of partner choice. Here, we compare </w:t>
      </w:r>
      <w:r w:rsidR="00322DB3">
        <w:rPr>
          <w:rFonts w:asciiTheme="minorHAnsi" w:eastAsia="Calibri" w:hAnsiTheme="minorHAnsi"/>
          <w:bCs/>
          <w:iCs/>
        </w:rPr>
        <w:t>three</w:t>
      </w:r>
      <w:r w:rsidRPr="004C6F03">
        <w:rPr>
          <w:rFonts w:asciiTheme="minorHAnsi" w:eastAsia="Calibri" w:hAnsiTheme="minorHAnsi"/>
          <w:bCs/>
          <w:iCs/>
        </w:rPr>
        <w:t xml:space="preserve"> conditions: one where no changes took place, one where the partner preference was reversed halfway through the study, </w:t>
      </w:r>
      <w:r w:rsidR="00322DB3">
        <w:rPr>
          <w:rFonts w:asciiTheme="minorHAnsi" w:eastAsia="Calibri" w:hAnsiTheme="minorHAnsi"/>
          <w:bCs/>
          <w:iCs/>
        </w:rPr>
        <w:t>a</w:t>
      </w:r>
      <w:r w:rsidRPr="004C6F03">
        <w:rPr>
          <w:rFonts w:asciiTheme="minorHAnsi" w:eastAsia="Calibri" w:hAnsiTheme="minorHAnsi"/>
          <w:bCs/>
          <w:iCs/>
        </w:rPr>
        <w:t xml:space="preserve">nd one where partner choice was randomised. Again, we found differences in the slope with which the consistency </w:t>
      </w:r>
      <w:r w:rsidRPr="004C6F03">
        <w:rPr>
          <w:rFonts w:asciiTheme="minorHAnsi" w:eastAsia="Calibri" w:hAnsiTheme="minorHAnsi"/>
          <w:bCs/>
          <w:iCs/>
        </w:rPr>
        <w:lastRenderedPageBreak/>
        <w:t>increased with increasing data density. 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the predictive value of different subsets differed. As seen before, random partner choice could be identified because the consistency of the full dataset never increased above a certain threshold.</w:t>
      </w:r>
    </w:p>
    <w:p w14:paraId="78450B70" w14:textId="550A483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r w:rsidR="00322DB3">
        <w:rPr>
          <w:rFonts w:asciiTheme="minorHAnsi" w:eastAsia="Calibri" w:hAnsiTheme="minorHAnsi"/>
          <w:bCs/>
          <w:iCs/>
          <w:noProof/>
        </w:rPr>
        <w:drawing>
          <wp:inline distT="0" distB="0" distL="0" distR="0" wp14:anchorId="06806C9A" wp14:editId="7278910C">
            <wp:extent cx="6515100" cy="5486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5100" cy="5486400"/>
                    </a:xfrm>
                    <a:prstGeom prst="rect">
                      <a:avLst/>
                    </a:prstGeom>
                  </pic:spPr>
                </pic:pic>
              </a:graphicData>
            </a:graphic>
          </wp:inline>
        </w:drawing>
      </w:r>
    </w:p>
    <w:p w14:paraId="0BD4AFB1" w14:textId="5AD9EFFB"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lastRenderedPageBreak/>
        <w:t>Figure S3: Results of the data simulation with preference changes throughout the dataset while having consistent group size, data density, and stereotypy of dyadic preference. “Consistent Choice” indicates no changes in preferences throughout, “</w:t>
      </w:r>
      <w:r w:rsidR="00322DB3">
        <w:rPr>
          <w:rFonts w:asciiTheme="minorHAnsi" w:eastAsia="Calibri" w:hAnsiTheme="minorHAnsi"/>
          <w:bCs/>
          <w:i/>
          <w:sz w:val="18"/>
          <w:szCs w:val="18"/>
        </w:rPr>
        <w:t>Inverted</w:t>
      </w:r>
      <w:r w:rsidRPr="00322DB3">
        <w:rPr>
          <w:rFonts w:asciiTheme="minorHAnsi" w:eastAsia="Calibri" w:hAnsiTheme="minorHAnsi"/>
          <w:bCs/>
          <w:i/>
          <w:sz w:val="18"/>
          <w:szCs w:val="18"/>
        </w:rPr>
        <w:t xml:space="preserve"> Choice” indicates one reversal of dyadic preference, while random choice indicates that all partners were chosen with the same likelihood.</w:t>
      </w:r>
    </w:p>
    <w:p w14:paraId="7964D14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2BBD3835" w14:textId="30015BB9"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Based on these observations, the consistency measure can be used to compare the predictability of interactions between groups of different sizes and different interaction types within the same community. We suggest using it the following way: the overall consistency, using the entire dataset, was heavily influence</w:t>
      </w:r>
      <w:ins w:id="19" w:author="anna" w:date="2020-05-17T11:58:00Z">
        <w:r w:rsidR="008233F7">
          <w:rPr>
            <w:rFonts w:asciiTheme="minorHAnsi" w:eastAsia="Calibri" w:hAnsiTheme="minorHAnsi"/>
            <w:bCs/>
            <w:iCs/>
          </w:rPr>
          <w:t>d</w:t>
        </w:r>
      </w:ins>
      <w:r w:rsidRPr="004C6F03">
        <w:rPr>
          <w:rFonts w:asciiTheme="minorHAnsi" w:eastAsia="Calibri" w:hAnsiTheme="minorHAnsi"/>
          <w:bCs/>
          <w:iCs/>
        </w:rPr>
        <w:t xml:space="preserve"> by the amount of interactions available per dyad, and thus does not make a good measure. However, it offers a good shorthand for researchers to decide whether to include an interaction type in their analyses at all, for example for social network analysis. In our simulations, even if the underlying distribution of interactions was highly stereotyped and consistent, the consistency measure remained low if data density was low, indicating that one half of the dataset was not a good predictor of the other half. Thus, if the Spearman rank correlation between halves of the same dataset does not reach 0.5, it is likely that not enough data has been collected to make statements about the underlying distribution of an interaction type in a population, unless that distribution is random. We therefore propose to remove interaction types with an overall consistency below r=0.5, as their interpretation is unclear. </w:t>
      </w:r>
    </w:p>
    <w:p w14:paraId="152211B6" w14:textId="54DCA15C" w:rsidR="004C6F03" w:rsidRPr="004C6F03" w:rsidRDefault="004C6F03" w:rsidP="004C6F03">
      <w:pPr>
        <w:spacing w:line="480" w:lineRule="auto"/>
        <w:ind w:leftChars="0" w:left="0" w:firstLineChars="0" w:firstLine="0"/>
        <w:jc w:val="both"/>
        <w:rPr>
          <w:rFonts w:asciiTheme="minorHAnsi" w:eastAsia="Calibri" w:hAnsiTheme="minorHAnsi"/>
          <w:bCs/>
          <w:iCs/>
        </w:rPr>
      </w:pPr>
      <w:r w:rsidRPr="004C6F03">
        <w:rPr>
          <w:rFonts w:asciiTheme="minorHAnsi" w:eastAsia="Calibri" w:hAnsiTheme="minorHAnsi"/>
          <w:bCs/>
          <w:iCs/>
        </w:rPr>
        <w:t xml:space="preserve">For all other interactions, we propose the following standardised consistency measure: To make the interpretation of consistency comparable across communities of different sizes, we suggest the average number of interactions per dyad necessary to reach a median consistency of r=0.5 as a good measure. This accounts for the fact that the slope at which consistency rises when cutting the dataset in ever smaller subsets, rather than the overall consistency, can detect both differences in stereotypy of partner choice and changes in dyadic preference. The resulting value </w:t>
      </w:r>
      <w:r w:rsidRPr="004C6F03">
        <w:rPr>
          <w:rFonts w:asciiTheme="minorHAnsi" w:eastAsia="Calibri" w:hAnsiTheme="minorHAnsi"/>
          <w:bCs/>
          <w:iCs/>
        </w:rPr>
        <w:lastRenderedPageBreak/>
        <w:t xml:space="preserve">is directly interpretable – for example, in the “high certainty” condition, individuals need to observe around one interaction per dyad on average to be able to somewhat predict future interactions, whereas individuals in the “low certainty” condition need </w:t>
      </w:r>
      <w:r w:rsidR="00CB7000">
        <w:rPr>
          <w:rFonts w:asciiTheme="minorHAnsi" w:eastAsia="Calibri" w:hAnsiTheme="minorHAnsi"/>
          <w:bCs/>
          <w:iCs/>
        </w:rPr>
        <w:t>ten or more</w:t>
      </w:r>
      <w:r w:rsidRPr="004C6F03">
        <w:rPr>
          <w:rFonts w:asciiTheme="minorHAnsi" w:eastAsia="Calibri" w:hAnsiTheme="minorHAnsi"/>
          <w:bCs/>
          <w:iCs/>
        </w:rPr>
        <w:t xml:space="preserve"> interaction</w:t>
      </w:r>
      <w:r w:rsidR="00CB7000">
        <w:rPr>
          <w:rFonts w:asciiTheme="minorHAnsi" w:eastAsia="Calibri" w:hAnsiTheme="minorHAnsi"/>
          <w:bCs/>
          <w:iCs/>
        </w:rPr>
        <w:t>s</w:t>
      </w:r>
      <w:r w:rsidRPr="004C6F03">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p>
    <w:p w14:paraId="570E3F65" w14:textId="77777777" w:rsidR="001C22EB" w:rsidRDefault="001C22EB">
      <w:pPr>
        <w:spacing w:line="480" w:lineRule="auto"/>
        <w:ind w:leftChars="0" w:left="0" w:firstLineChars="0" w:firstLine="0"/>
        <w:jc w:val="both"/>
        <w:rPr>
          <w:rFonts w:asciiTheme="minorHAnsi" w:eastAsia="Calibri" w:hAnsiTheme="minorHAnsi"/>
          <w:b/>
          <w:i/>
        </w:rPr>
      </w:pPr>
    </w:p>
    <w:p w14:paraId="58A2DC15" w14:textId="77777777" w:rsidR="00CC4A8D" w:rsidRDefault="001C22EB">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Field Data</w:t>
      </w:r>
    </w:p>
    <w:p w14:paraId="7AE1FC06" w14:textId="77777777" w:rsidR="00192031" w:rsidRDefault="00B244F2">
      <w:pPr>
        <w:spacing w:line="480" w:lineRule="auto"/>
        <w:ind w:leftChars="0" w:left="0" w:firstLineChars="0" w:firstLine="0"/>
        <w:jc w:val="both"/>
        <w:rPr>
          <w:rFonts w:asciiTheme="minorHAnsi" w:hAnsiTheme="minorHAnsi"/>
        </w:rPr>
      </w:pPr>
      <w:r>
        <w:rPr>
          <w:rFonts w:asciiTheme="minorHAnsi" w:hAnsiTheme="minorHAnsi"/>
        </w:rPr>
        <w:t xml:space="preserve">Our measure of consistency, repeatedly selecting half of focal observation days and correlating the interaction rates with those of the other half, proved useful in identifying interaction types with insufficient information available. In all three communities, contact aggressions and food sharing stood out as having the lowest number of interactions (around or below 1 average interaction per dyad). Both also stood out as for all communities, consistency values were below r=0.5 (Tab. 1). In our simulations, such low values only occurred when insufficient data was available to successfully approximate the underlying distributions of interactions, even in cases where the underlying distribution was highly consistent. For all other interaction types, consistency values were above r=0.5 in all communities. </w:t>
      </w:r>
    </w:p>
    <w:p w14:paraId="4A8E6FAF" w14:textId="77777777" w:rsidR="00192031" w:rsidRPr="00192031"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commentRangeStart w:id="20"/>
      <w:r w:rsidRPr="00192031">
        <w:rPr>
          <w:rFonts w:asciiTheme="minorHAnsi" w:hAnsiTheme="minorHAnsi" w:cstheme="minorHAnsi"/>
          <w:i/>
          <w:iCs/>
          <w:sz w:val="18"/>
          <w:szCs w:val="18"/>
        </w:rPr>
        <w:t xml:space="preserve">Table </w:t>
      </w:r>
      <w:r w:rsidRPr="00192031">
        <w:rPr>
          <w:rFonts w:asciiTheme="minorHAnsi" w:hAnsiTheme="minorHAnsi" w:cstheme="minorHAnsi"/>
          <w:i/>
          <w:iCs/>
          <w:sz w:val="18"/>
          <w:szCs w:val="18"/>
        </w:rPr>
        <w:fldChar w:fldCharType="begin"/>
      </w:r>
      <w:r w:rsidRPr="00192031">
        <w:rPr>
          <w:rFonts w:asciiTheme="minorHAnsi" w:hAnsiTheme="minorHAnsi" w:cstheme="minorHAnsi"/>
          <w:i/>
          <w:iCs/>
          <w:sz w:val="18"/>
          <w:szCs w:val="18"/>
        </w:rPr>
        <w:instrText xml:space="preserve"> SEQ Table \* ARABIC </w:instrText>
      </w:r>
      <w:r w:rsidRPr="00192031">
        <w:rPr>
          <w:rFonts w:asciiTheme="minorHAnsi" w:hAnsiTheme="minorHAnsi" w:cstheme="minorHAnsi"/>
          <w:i/>
          <w:iCs/>
          <w:sz w:val="18"/>
          <w:szCs w:val="18"/>
        </w:rPr>
        <w:fldChar w:fldCharType="separate"/>
      </w:r>
      <w:r w:rsidRPr="00192031">
        <w:rPr>
          <w:rFonts w:asciiTheme="minorHAnsi" w:hAnsiTheme="minorHAnsi" w:cstheme="minorHAnsi"/>
          <w:i/>
          <w:iCs/>
          <w:sz w:val="18"/>
          <w:szCs w:val="18"/>
        </w:rPr>
        <w:t>1</w:t>
      </w:r>
      <w:r w:rsidRPr="00192031">
        <w:rPr>
          <w:rFonts w:asciiTheme="minorHAnsi" w:hAnsiTheme="minorHAnsi" w:cstheme="minorHAnsi"/>
          <w:i/>
          <w:iCs/>
          <w:sz w:val="18"/>
          <w:szCs w:val="18"/>
        </w:rPr>
        <w:fldChar w:fldCharType="end"/>
      </w:r>
      <w:r w:rsidRPr="00192031">
        <w:rPr>
          <w:rFonts w:asciiTheme="minorHAnsi" w:hAnsiTheme="minorHAnsi" w:cstheme="minorHAnsi"/>
          <w:i/>
          <w:iCs/>
          <w:sz w:val="18"/>
          <w:szCs w:val="18"/>
        </w:rPr>
        <w:t xml:space="preserve">:  </w:t>
      </w:r>
      <w:commentRangeEnd w:id="20"/>
      <w:r w:rsidR="008233F7">
        <w:rPr>
          <w:rStyle w:val="CommentReference"/>
        </w:rPr>
        <w:commentReference w:id="20"/>
      </w:r>
      <w:r w:rsidRPr="00192031">
        <w:rPr>
          <w:rFonts w:asciiTheme="minorHAnsi" w:hAnsiTheme="minorHAnsi" w:cstheme="minorHAnsi"/>
          <w:i/>
          <w:iCs/>
          <w:sz w:val="18"/>
          <w:szCs w:val="18"/>
        </w:rPr>
        <w:t>Overview of the 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repeated random selection of halves of subsets of different lengths, with the average number of interactions per dyad for which the median correlation coefficient exceeds r=0.5 as measure of how much information is needed to predict future interactions in a community.</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2225"/>
        <w:gridCol w:w="992"/>
        <w:gridCol w:w="1276"/>
        <w:gridCol w:w="1276"/>
        <w:gridCol w:w="2409"/>
        <w:gridCol w:w="895"/>
      </w:tblGrid>
      <w:tr w:rsidR="00192031" w:rsidRPr="009D2B56" w14:paraId="023A8001" w14:textId="77777777" w:rsidTr="00D837D9">
        <w:tc>
          <w:tcPr>
            <w:tcW w:w="1002" w:type="dxa"/>
            <w:tcBorders>
              <w:top w:val="single" w:sz="4" w:space="0" w:color="auto"/>
              <w:bottom w:val="single" w:sz="4" w:space="0" w:color="auto"/>
            </w:tcBorders>
          </w:tcPr>
          <w:p w14:paraId="555F7001"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9D2B56">
              <w:rPr>
                <w:rFonts w:asciiTheme="minorHAnsi" w:hAnsiTheme="minorHAnsi"/>
                <w:b/>
                <w:sz w:val="18"/>
                <w:szCs w:val="18"/>
              </w:rPr>
              <w:t>Group</w:t>
            </w:r>
          </w:p>
        </w:tc>
        <w:tc>
          <w:tcPr>
            <w:tcW w:w="2225" w:type="dxa"/>
            <w:tcBorders>
              <w:top w:val="single" w:sz="4" w:space="0" w:color="auto"/>
              <w:bottom w:val="single" w:sz="4" w:space="0" w:color="auto"/>
            </w:tcBorders>
          </w:tcPr>
          <w:p w14:paraId="4958B1A0"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 Type</w:t>
            </w:r>
          </w:p>
        </w:tc>
        <w:tc>
          <w:tcPr>
            <w:tcW w:w="992" w:type="dxa"/>
            <w:tcBorders>
              <w:top w:val="single" w:sz="4" w:space="0" w:color="auto"/>
              <w:bottom w:val="single" w:sz="4" w:space="0" w:color="auto"/>
            </w:tcBorders>
          </w:tcPr>
          <w:p w14:paraId="6AA32A1A"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IDs</w:t>
            </w:r>
          </w:p>
        </w:tc>
        <w:tc>
          <w:tcPr>
            <w:tcW w:w="1276" w:type="dxa"/>
            <w:tcBorders>
              <w:top w:val="single" w:sz="4" w:space="0" w:color="auto"/>
              <w:bottom w:val="single" w:sz="4" w:space="0" w:color="auto"/>
            </w:tcBorders>
          </w:tcPr>
          <w:p w14:paraId="109325A1"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Interactions</w:t>
            </w:r>
          </w:p>
        </w:tc>
        <w:tc>
          <w:tcPr>
            <w:tcW w:w="1276" w:type="dxa"/>
            <w:tcBorders>
              <w:top w:val="single" w:sz="4" w:space="0" w:color="auto"/>
              <w:bottom w:val="single" w:sz="4" w:space="0" w:color="auto"/>
            </w:tcBorders>
          </w:tcPr>
          <w:p w14:paraId="78174077"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 xml:space="preserve">Overall </w:t>
            </w:r>
            <w:r w:rsidRPr="009D2B56">
              <w:rPr>
                <w:rFonts w:asciiTheme="minorHAnsi" w:hAnsiTheme="minorHAnsi"/>
                <w:b/>
                <w:sz w:val="18"/>
                <w:szCs w:val="18"/>
              </w:rPr>
              <w:lastRenderedPageBreak/>
              <w:t>Consistency</w:t>
            </w:r>
          </w:p>
        </w:tc>
        <w:tc>
          <w:tcPr>
            <w:tcW w:w="2409" w:type="dxa"/>
            <w:tcBorders>
              <w:top w:val="single" w:sz="4" w:space="0" w:color="auto"/>
              <w:bottom w:val="single" w:sz="4" w:space="0" w:color="auto"/>
            </w:tcBorders>
          </w:tcPr>
          <w:p w14:paraId="2F11112A"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lastRenderedPageBreak/>
              <w:t xml:space="preserve">Standardised Consistency </w:t>
            </w:r>
            <w:r w:rsidRPr="009D2B56">
              <w:rPr>
                <w:rFonts w:asciiTheme="minorHAnsi" w:hAnsiTheme="minorHAnsi"/>
                <w:b/>
                <w:sz w:val="18"/>
                <w:szCs w:val="18"/>
              </w:rPr>
              <w:lastRenderedPageBreak/>
              <w:t>(Interactions/dyad)</w:t>
            </w:r>
          </w:p>
        </w:tc>
        <w:tc>
          <w:tcPr>
            <w:tcW w:w="895" w:type="dxa"/>
            <w:tcBorders>
              <w:top w:val="single" w:sz="4" w:space="0" w:color="auto"/>
              <w:bottom w:val="single" w:sz="4" w:space="0" w:color="auto"/>
            </w:tcBorders>
          </w:tcPr>
          <w:p w14:paraId="3CCC3C85"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lastRenderedPageBreak/>
              <w:t>SD</w:t>
            </w:r>
          </w:p>
        </w:tc>
      </w:tr>
      <w:tr w:rsidR="00192031" w:rsidRPr="009D2B56" w14:paraId="54D35630" w14:textId="77777777" w:rsidTr="00D837D9">
        <w:tc>
          <w:tcPr>
            <w:tcW w:w="1002" w:type="dxa"/>
            <w:tcBorders>
              <w:top w:val="single" w:sz="4" w:space="0" w:color="auto"/>
            </w:tcBorders>
          </w:tcPr>
          <w:p w14:paraId="194D56FF"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Borders>
              <w:top w:val="single" w:sz="4" w:space="0" w:color="auto"/>
            </w:tcBorders>
          </w:tcPr>
          <w:p w14:paraId="470F23B2"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Grooming</w:t>
            </w:r>
          </w:p>
        </w:tc>
        <w:tc>
          <w:tcPr>
            <w:tcW w:w="992" w:type="dxa"/>
            <w:tcBorders>
              <w:top w:val="single" w:sz="4" w:space="0" w:color="auto"/>
            </w:tcBorders>
          </w:tcPr>
          <w:p w14:paraId="2AD930D8"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Borders>
              <w:top w:val="single" w:sz="4" w:space="0" w:color="auto"/>
            </w:tcBorders>
          </w:tcPr>
          <w:p w14:paraId="69338564"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1162</w:t>
            </w:r>
          </w:p>
        </w:tc>
        <w:tc>
          <w:tcPr>
            <w:tcW w:w="1276" w:type="dxa"/>
            <w:tcBorders>
              <w:top w:val="single" w:sz="4" w:space="0" w:color="auto"/>
            </w:tcBorders>
          </w:tcPr>
          <w:p w14:paraId="78912CA2"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0.52</w:t>
            </w:r>
          </w:p>
        </w:tc>
        <w:tc>
          <w:tcPr>
            <w:tcW w:w="2409" w:type="dxa"/>
            <w:tcBorders>
              <w:top w:val="single" w:sz="4" w:space="0" w:color="auto"/>
            </w:tcBorders>
          </w:tcPr>
          <w:p w14:paraId="746A44D9"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1.8</w:t>
            </w:r>
          </w:p>
        </w:tc>
        <w:tc>
          <w:tcPr>
            <w:tcW w:w="895" w:type="dxa"/>
            <w:tcBorders>
              <w:top w:val="single" w:sz="4" w:space="0" w:color="auto"/>
            </w:tcBorders>
          </w:tcPr>
          <w:p w14:paraId="2BE03EBB"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0.4</w:t>
            </w:r>
          </w:p>
        </w:tc>
      </w:tr>
      <w:tr w:rsidR="00192031" w:rsidRPr="009D2B56" w14:paraId="35382000" w14:textId="77777777" w:rsidTr="00D837D9">
        <w:tc>
          <w:tcPr>
            <w:tcW w:w="1002" w:type="dxa"/>
          </w:tcPr>
          <w:p w14:paraId="4A9E4980"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
          <w:p w14:paraId="35769A14"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Body Contact</w:t>
            </w:r>
          </w:p>
        </w:tc>
        <w:tc>
          <w:tcPr>
            <w:tcW w:w="992" w:type="dxa"/>
          </w:tcPr>
          <w:p w14:paraId="2201BE4B"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37EE1299"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2218</w:t>
            </w:r>
          </w:p>
        </w:tc>
        <w:tc>
          <w:tcPr>
            <w:tcW w:w="1276" w:type="dxa"/>
          </w:tcPr>
          <w:p w14:paraId="434C38C5"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5E2AB874"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7.4</w:t>
            </w:r>
          </w:p>
        </w:tc>
        <w:tc>
          <w:tcPr>
            <w:tcW w:w="895" w:type="dxa"/>
          </w:tcPr>
          <w:p w14:paraId="27F320A5"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1.4</w:t>
            </w:r>
          </w:p>
        </w:tc>
      </w:tr>
      <w:tr w:rsidR="00192031" w:rsidRPr="009D2B56" w14:paraId="5C61D4AC" w14:textId="77777777" w:rsidTr="00D837D9">
        <w:tc>
          <w:tcPr>
            <w:tcW w:w="1002" w:type="dxa"/>
          </w:tcPr>
          <w:p w14:paraId="45307378"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Mangabey</w:t>
            </w:r>
          </w:p>
        </w:tc>
        <w:tc>
          <w:tcPr>
            <w:tcW w:w="2225" w:type="dxa"/>
          </w:tcPr>
          <w:p w14:paraId="6ECAA9C4"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Proximity</w:t>
            </w:r>
          </w:p>
        </w:tc>
        <w:tc>
          <w:tcPr>
            <w:tcW w:w="992" w:type="dxa"/>
          </w:tcPr>
          <w:p w14:paraId="6FDFC8F9"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72DF390"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4373</w:t>
            </w:r>
          </w:p>
        </w:tc>
        <w:tc>
          <w:tcPr>
            <w:tcW w:w="1276" w:type="dxa"/>
          </w:tcPr>
          <w:p w14:paraId="38E5C5F0"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61E74DF2"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14.5</w:t>
            </w:r>
          </w:p>
        </w:tc>
        <w:tc>
          <w:tcPr>
            <w:tcW w:w="895" w:type="dxa"/>
          </w:tcPr>
          <w:p w14:paraId="01A61AE1"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6164CEB1" w14:textId="77777777" w:rsidTr="00D837D9">
        <w:tc>
          <w:tcPr>
            <w:tcW w:w="1002" w:type="dxa"/>
          </w:tcPr>
          <w:p w14:paraId="3028A766"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Mangabey</w:t>
            </w:r>
          </w:p>
        </w:tc>
        <w:tc>
          <w:tcPr>
            <w:tcW w:w="2225" w:type="dxa"/>
          </w:tcPr>
          <w:p w14:paraId="22AABBF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AFA9AC7"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23</w:t>
            </w:r>
          </w:p>
        </w:tc>
        <w:tc>
          <w:tcPr>
            <w:tcW w:w="1276" w:type="dxa"/>
          </w:tcPr>
          <w:p w14:paraId="4B106ACE"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971</w:t>
            </w:r>
          </w:p>
        </w:tc>
        <w:tc>
          <w:tcPr>
            <w:tcW w:w="1276" w:type="dxa"/>
          </w:tcPr>
          <w:p w14:paraId="4FDE489C" w14:textId="77777777" w:rsidR="00192031" w:rsidRPr="009D2B56" w:rsidRDefault="00192031" w:rsidP="00D837D9">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0.58</w:t>
            </w:r>
          </w:p>
        </w:tc>
        <w:tc>
          <w:tcPr>
            <w:tcW w:w="2409" w:type="dxa"/>
          </w:tcPr>
          <w:p w14:paraId="1D947878"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1.3</w:t>
            </w:r>
          </w:p>
        </w:tc>
        <w:tc>
          <w:tcPr>
            <w:tcW w:w="895" w:type="dxa"/>
          </w:tcPr>
          <w:p w14:paraId="63DE475E"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0.3</w:t>
            </w:r>
          </w:p>
        </w:tc>
      </w:tr>
      <w:tr w:rsidR="00192031" w:rsidRPr="009D2B56" w14:paraId="588EEA5E" w14:textId="77777777" w:rsidTr="00D837D9">
        <w:tc>
          <w:tcPr>
            <w:tcW w:w="1002" w:type="dxa"/>
          </w:tcPr>
          <w:p w14:paraId="735A4B91"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lang w:val="fr-FR"/>
              </w:rPr>
              <w:t>Mangabey</w:t>
            </w:r>
          </w:p>
        </w:tc>
        <w:tc>
          <w:tcPr>
            <w:tcW w:w="2225" w:type="dxa"/>
          </w:tcPr>
          <w:p w14:paraId="6A11EFC3" w14:textId="77777777" w:rsidR="00192031" w:rsidRPr="009D2B56" w:rsidRDefault="00192031" w:rsidP="00D837D9">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rPr>
              <w:t>Aggression</w:t>
            </w:r>
            <w:r w:rsidRPr="009D2B56">
              <w:rPr>
                <w:rFonts w:asciiTheme="minorHAnsi" w:hAnsiTheme="minorHAnsi"/>
                <w:sz w:val="18"/>
                <w:szCs w:val="18"/>
                <w:lang w:val="fr-FR"/>
              </w:rPr>
              <w:t xml:space="preserve"> Contact</w:t>
            </w:r>
          </w:p>
        </w:tc>
        <w:tc>
          <w:tcPr>
            <w:tcW w:w="992" w:type="dxa"/>
          </w:tcPr>
          <w:p w14:paraId="4D27EFDE" w14:textId="77777777" w:rsidR="00192031" w:rsidRPr="009D2B56" w:rsidRDefault="00192031" w:rsidP="00D837D9">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23</w:t>
            </w:r>
          </w:p>
        </w:tc>
        <w:tc>
          <w:tcPr>
            <w:tcW w:w="1276" w:type="dxa"/>
          </w:tcPr>
          <w:p w14:paraId="102A044C" w14:textId="77777777" w:rsidR="00192031" w:rsidRPr="009D2B56" w:rsidRDefault="00192031" w:rsidP="00D837D9">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210</w:t>
            </w:r>
          </w:p>
        </w:tc>
        <w:tc>
          <w:tcPr>
            <w:tcW w:w="1276" w:type="dxa"/>
          </w:tcPr>
          <w:p w14:paraId="36F3999F" w14:textId="77777777" w:rsidR="00192031" w:rsidRPr="00263884" w:rsidRDefault="00192031" w:rsidP="00D837D9">
            <w:pPr>
              <w:spacing w:line="240" w:lineRule="auto"/>
              <w:ind w:left="0" w:hanging="2"/>
              <w:jc w:val="center"/>
              <w:rPr>
                <w:rFonts w:asciiTheme="minorHAnsi" w:hAnsiTheme="minorHAnsi"/>
                <w:sz w:val="18"/>
                <w:szCs w:val="18"/>
                <w:lang w:val="fr-FR"/>
              </w:rPr>
            </w:pPr>
            <w:r w:rsidRPr="00263884">
              <w:rPr>
                <w:rFonts w:asciiTheme="minorHAnsi" w:hAnsiTheme="minorHAnsi"/>
                <w:sz w:val="18"/>
                <w:szCs w:val="18"/>
                <w:lang w:val="fr-FR"/>
              </w:rPr>
              <w:t>0.24</w:t>
            </w:r>
          </w:p>
        </w:tc>
        <w:tc>
          <w:tcPr>
            <w:tcW w:w="2409" w:type="dxa"/>
          </w:tcPr>
          <w:p w14:paraId="3A594393"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c>
          <w:tcPr>
            <w:tcW w:w="895" w:type="dxa"/>
          </w:tcPr>
          <w:p w14:paraId="0D823DF0"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r>
      <w:tr w:rsidR="00192031" w:rsidRPr="009D2B56" w14:paraId="19653953" w14:textId="77777777" w:rsidTr="00D837D9">
        <w:tc>
          <w:tcPr>
            <w:tcW w:w="1002" w:type="dxa"/>
          </w:tcPr>
          <w:p w14:paraId="7DC1EB3E"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lang w:val="fr-FR"/>
              </w:rPr>
              <w:t>Manga</w:t>
            </w:r>
            <w:r w:rsidRPr="009D2B56">
              <w:rPr>
                <w:rFonts w:asciiTheme="minorHAnsi" w:hAnsiTheme="minorHAnsi"/>
                <w:sz w:val="18"/>
                <w:szCs w:val="18"/>
              </w:rPr>
              <w:t>bey</w:t>
            </w:r>
          </w:p>
        </w:tc>
        <w:tc>
          <w:tcPr>
            <w:tcW w:w="2225" w:type="dxa"/>
          </w:tcPr>
          <w:p w14:paraId="136A9439"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Supplant</w:t>
            </w:r>
          </w:p>
        </w:tc>
        <w:tc>
          <w:tcPr>
            <w:tcW w:w="992" w:type="dxa"/>
          </w:tcPr>
          <w:p w14:paraId="7AC51B5B"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6B76B4A"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1219</w:t>
            </w:r>
          </w:p>
        </w:tc>
        <w:tc>
          <w:tcPr>
            <w:tcW w:w="1276" w:type="dxa"/>
          </w:tcPr>
          <w:p w14:paraId="759BF230" w14:textId="77777777" w:rsidR="00192031" w:rsidRPr="009D2B56" w:rsidRDefault="00192031" w:rsidP="00D837D9">
            <w:pPr>
              <w:spacing w:line="240" w:lineRule="auto"/>
              <w:ind w:left="0" w:hanging="2"/>
              <w:jc w:val="center"/>
              <w:rPr>
                <w:rFonts w:asciiTheme="minorHAnsi" w:hAnsiTheme="minorHAnsi"/>
                <w:b/>
                <w:sz w:val="18"/>
                <w:szCs w:val="18"/>
              </w:rPr>
            </w:pPr>
            <w:r w:rsidRPr="009D2B56">
              <w:rPr>
                <w:rFonts w:asciiTheme="minorHAnsi" w:hAnsiTheme="minorHAnsi"/>
                <w:sz w:val="18"/>
                <w:szCs w:val="18"/>
              </w:rPr>
              <w:t>0.69</w:t>
            </w:r>
          </w:p>
        </w:tc>
        <w:tc>
          <w:tcPr>
            <w:tcW w:w="2409" w:type="dxa"/>
          </w:tcPr>
          <w:p w14:paraId="7AA70276"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2.1</w:t>
            </w:r>
          </w:p>
        </w:tc>
        <w:tc>
          <w:tcPr>
            <w:tcW w:w="895" w:type="dxa"/>
          </w:tcPr>
          <w:p w14:paraId="74165FC7"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0.5</w:t>
            </w:r>
          </w:p>
        </w:tc>
      </w:tr>
      <w:tr w:rsidR="00192031" w:rsidRPr="009D2B56" w14:paraId="421ED6AB" w14:textId="77777777" w:rsidTr="00D837D9">
        <w:tc>
          <w:tcPr>
            <w:tcW w:w="1002" w:type="dxa"/>
            <w:tcBorders>
              <w:top w:val="single" w:sz="4" w:space="0" w:color="auto"/>
            </w:tcBorders>
          </w:tcPr>
          <w:p w14:paraId="5B54EB82"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East</w:t>
            </w:r>
          </w:p>
        </w:tc>
        <w:tc>
          <w:tcPr>
            <w:tcW w:w="2225" w:type="dxa"/>
            <w:tcBorders>
              <w:top w:val="single" w:sz="4" w:space="0" w:color="auto"/>
            </w:tcBorders>
          </w:tcPr>
          <w:p w14:paraId="63DBC991"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01D0BCBC"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3FE531D8"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3099</w:t>
            </w:r>
          </w:p>
        </w:tc>
        <w:tc>
          <w:tcPr>
            <w:tcW w:w="1276" w:type="dxa"/>
            <w:tcBorders>
              <w:top w:val="single" w:sz="4" w:space="0" w:color="auto"/>
            </w:tcBorders>
          </w:tcPr>
          <w:p w14:paraId="56B5F221"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0.75</w:t>
            </w:r>
          </w:p>
        </w:tc>
        <w:tc>
          <w:tcPr>
            <w:tcW w:w="2409" w:type="dxa"/>
            <w:tcBorders>
              <w:top w:val="single" w:sz="4" w:space="0" w:color="auto"/>
            </w:tcBorders>
          </w:tcPr>
          <w:p w14:paraId="1D16B17C"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4.7</w:t>
            </w:r>
          </w:p>
        </w:tc>
        <w:tc>
          <w:tcPr>
            <w:tcW w:w="895" w:type="dxa"/>
            <w:tcBorders>
              <w:top w:val="single" w:sz="4" w:space="0" w:color="auto"/>
            </w:tcBorders>
          </w:tcPr>
          <w:p w14:paraId="0AA39F31"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2.0</w:t>
            </w:r>
          </w:p>
        </w:tc>
      </w:tr>
      <w:tr w:rsidR="00192031" w:rsidRPr="009D2B56" w14:paraId="6B5CAA86" w14:textId="77777777" w:rsidTr="00D837D9">
        <w:tc>
          <w:tcPr>
            <w:tcW w:w="1002" w:type="dxa"/>
          </w:tcPr>
          <w:p w14:paraId="341E3CFB"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7164161"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7BD6D1B2"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3780F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1935</w:t>
            </w:r>
          </w:p>
        </w:tc>
        <w:tc>
          <w:tcPr>
            <w:tcW w:w="1276" w:type="dxa"/>
          </w:tcPr>
          <w:p w14:paraId="1B5C5655"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0.64</w:t>
            </w:r>
          </w:p>
        </w:tc>
        <w:tc>
          <w:tcPr>
            <w:tcW w:w="2409" w:type="dxa"/>
          </w:tcPr>
          <w:p w14:paraId="4068CE6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11.7</w:t>
            </w:r>
          </w:p>
        </w:tc>
        <w:tc>
          <w:tcPr>
            <w:tcW w:w="895" w:type="dxa"/>
          </w:tcPr>
          <w:p w14:paraId="0FC3F362"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41F3FDCA" w14:textId="77777777" w:rsidTr="00D837D9">
        <w:tc>
          <w:tcPr>
            <w:tcW w:w="1002" w:type="dxa"/>
          </w:tcPr>
          <w:p w14:paraId="5D06D229"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69B955EB"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06220F36"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63AE413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2796</w:t>
            </w:r>
          </w:p>
        </w:tc>
        <w:tc>
          <w:tcPr>
            <w:tcW w:w="1276" w:type="dxa"/>
          </w:tcPr>
          <w:p w14:paraId="2F09AAF6"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20F06521"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13.1</w:t>
            </w:r>
          </w:p>
        </w:tc>
        <w:tc>
          <w:tcPr>
            <w:tcW w:w="895" w:type="dxa"/>
          </w:tcPr>
          <w:p w14:paraId="41645A96"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6.2</w:t>
            </w:r>
          </w:p>
        </w:tc>
      </w:tr>
      <w:tr w:rsidR="00192031" w:rsidRPr="009D2B56" w14:paraId="12431116" w14:textId="77777777" w:rsidTr="00D837D9">
        <w:tc>
          <w:tcPr>
            <w:tcW w:w="1002" w:type="dxa"/>
          </w:tcPr>
          <w:p w14:paraId="485C0B4B"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E2A1F14"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0F70C26"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099C507"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693</w:t>
            </w:r>
          </w:p>
        </w:tc>
        <w:tc>
          <w:tcPr>
            <w:tcW w:w="1276" w:type="dxa"/>
          </w:tcPr>
          <w:p w14:paraId="4628725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0.65</w:t>
            </w:r>
          </w:p>
        </w:tc>
        <w:tc>
          <w:tcPr>
            <w:tcW w:w="2409" w:type="dxa"/>
          </w:tcPr>
          <w:p w14:paraId="18B83071"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2.2</w:t>
            </w:r>
          </w:p>
        </w:tc>
        <w:tc>
          <w:tcPr>
            <w:tcW w:w="895" w:type="dxa"/>
          </w:tcPr>
          <w:p w14:paraId="6D272854"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0.8</w:t>
            </w:r>
          </w:p>
        </w:tc>
      </w:tr>
      <w:tr w:rsidR="00192031" w:rsidRPr="009D2B56" w14:paraId="7B28A3DC" w14:textId="77777777" w:rsidTr="00D837D9">
        <w:tc>
          <w:tcPr>
            <w:tcW w:w="1002" w:type="dxa"/>
          </w:tcPr>
          <w:p w14:paraId="31F32221"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57711B1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2929FA2F"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4A6F9DF6"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126</w:t>
            </w:r>
          </w:p>
        </w:tc>
        <w:tc>
          <w:tcPr>
            <w:tcW w:w="1276" w:type="dxa"/>
          </w:tcPr>
          <w:p w14:paraId="370BCBBF" w14:textId="77777777" w:rsidR="00192031" w:rsidRPr="00263884" w:rsidRDefault="00192031" w:rsidP="00D837D9">
            <w:pPr>
              <w:spacing w:line="240" w:lineRule="auto"/>
              <w:ind w:left="0" w:hanging="2"/>
              <w:jc w:val="center"/>
              <w:rPr>
                <w:rFonts w:asciiTheme="minorHAnsi" w:hAnsiTheme="minorHAnsi"/>
                <w:sz w:val="18"/>
                <w:szCs w:val="18"/>
              </w:rPr>
            </w:pPr>
            <w:r w:rsidRPr="00263884">
              <w:rPr>
                <w:rFonts w:asciiTheme="minorHAnsi" w:hAnsiTheme="minorHAnsi"/>
                <w:sz w:val="18"/>
                <w:szCs w:val="18"/>
              </w:rPr>
              <w:t>0.33</w:t>
            </w:r>
          </w:p>
        </w:tc>
        <w:tc>
          <w:tcPr>
            <w:tcW w:w="2409" w:type="dxa"/>
          </w:tcPr>
          <w:p w14:paraId="5A942F02"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DC4AA7"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5174144A" w14:textId="77777777" w:rsidTr="00D837D9">
        <w:tc>
          <w:tcPr>
            <w:tcW w:w="1002" w:type="dxa"/>
          </w:tcPr>
          <w:p w14:paraId="61231BCB"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1AEE28AB"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3D9AED81"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964F57"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151</w:t>
            </w:r>
          </w:p>
        </w:tc>
        <w:tc>
          <w:tcPr>
            <w:tcW w:w="1276" w:type="dxa"/>
          </w:tcPr>
          <w:p w14:paraId="506EC8DF" w14:textId="77777777" w:rsidR="00192031" w:rsidRPr="00263884" w:rsidRDefault="00192031" w:rsidP="00D837D9">
            <w:pPr>
              <w:spacing w:line="240" w:lineRule="auto"/>
              <w:ind w:left="0" w:hanging="2"/>
              <w:jc w:val="center"/>
              <w:rPr>
                <w:rFonts w:asciiTheme="minorHAnsi" w:hAnsiTheme="minorHAnsi"/>
                <w:sz w:val="18"/>
                <w:szCs w:val="18"/>
              </w:rPr>
            </w:pPr>
            <w:r w:rsidRPr="00263884">
              <w:rPr>
                <w:rFonts w:asciiTheme="minorHAnsi" w:hAnsiTheme="minorHAnsi"/>
                <w:sz w:val="18"/>
                <w:szCs w:val="18"/>
              </w:rPr>
              <w:t>0.40</w:t>
            </w:r>
          </w:p>
        </w:tc>
        <w:tc>
          <w:tcPr>
            <w:tcW w:w="2409" w:type="dxa"/>
          </w:tcPr>
          <w:p w14:paraId="451CEE0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E536C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464083FC" w14:textId="77777777" w:rsidTr="00D837D9">
        <w:tc>
          <w:tcPr>
            <w:tcW w:w="1002" w:type="dxa"/>
            <w:tcBorders>
              <w:bottom w:val="single" w:sz="4" w:space="0" w:color="auto"/>
            </w:tcBorders>
          </w:tcPr>
          <w:p w14:paraId="6D3B2F1A"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Borders>
              <w:bottom w:val="single" w:sz="4" w:space="0" w:color="auto"/>
            </w:tcBorders>
          </w:tcPr>
          <w:p w14:paraId="128AEF96"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7715F9C6"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211C082F"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2429</w:t>
            </w:r>
          </w:p>
        </w:tc>
        <w:tc>
          <w:tcPr>
            <w:tcW w:w="1276" w:type="dxa"/>
            <w:tcBorders>
              <w:bottom w:val="single" w:sz="4" w:space="0" w:color="auto"/>
            </w:tcBorders>
          </w:tcPr>
          <w:p w14:paraId="4B72B23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0.92</w:t>
            </w:r>
          </w:p>
        </w:tc>
        <w:tc>
          <w:tcPr>
            <w:tcW w:w="2409" w:type="dxa"/>
            <w:tcBorders>
              <w:bottom w:val="single" w:sz="4" w:space="0" w:color="auto"/>
            </w:tcBorders>
          </w:tcPr>
          <w:p w14:paraId="0A2CACB9"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0.9</w:t>
            </w:r>
          </w:p>
        </w:tc>
        <w:tc>
          <w:tcPr>
            <w:tcW w:w="895" w:type="dxa"/>
            <w:tcBorders>
              <w:bottom w:val="single" w:sz="4" w:space="0" w:color="auto"/>
            </w:tcBorders>
          </w:tcPr>
          <w:p w14:paraId="6EEAF186"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0.1</w:t>
            </w:r>
          </w:p>
        </w:tc>
      </w:tr>
      <w:tr w:rsidR="00192031" w:rsidRPr="009D2B56" w14:paraId="5214D9F7" w14:textId="77777777" w:rsidTr="00D837D9">
        <w:tc>
          <w:tcPr>
            <w:tcW w:w="1002" w:type="dxa"/>
            <w:tcBorders>
              <w:top w:val="single" w:sz="4" w:space="0" w:color="auto"/>
            </w:tcBorders>
          </w:tcPr>
          <w:p w14:paraId="34144060"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South</w:t>
            </w:r>
          </w:p>
        </w:tc>
        <w:tc>
          <w:tcPr>
            <w:tcW w:w="2225" w:type="dxa"/>
            <w:tcBorders>
              <w:top w:val="single" w:sz="4" w:space="0" w:color="auto"/>
            </w:tcBorders>
          </w:tcPr>
          <w:p w14:paraId="07F676F3"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153DF41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04CAB9FB"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4693</w:t>
            </w:r>
          </w:p>
        </w:tc>
        <w:tc>
          <w:tcPr>
            <w:tcW w:w="1276" w:type="dxa"/>
            <w:tcBorders>
              <w:top w:val="single" w:sz="4" w:space="0" w:color="auto"/>
            </w:tcBorders>
          </w:tcPr>
          <w:p w14:paraId="704D838F"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0.81</w:t>
            </w:r>
          </w:p>
        </w:tc>
        <w:tc>
          <w:tcPr>
            <w:tcW w:w="2409" w:type="dxa"/>
            <w:tcBorders>
              <w:top w:val="single" w:sz="4" w:space="0" w:color="auto"/>
            </w:tcBorders>
          </w:tcPr>
          <w:p w14:paraId="68BCF9AF"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4.2</w:t>
            </w:r>
          </w:p>
        </w:tc>
        <w:tc>
          <w:tcPr>
            <w:tcW w:w="895" w:type="dxa"/>
            <w:tcBorders>
              <w:top w:val="single" w:sz="4" w:space="0" w:color="auto"/>
            </w:tcBorders>
          </w:tcPr>
          <w:p w14:paraId="34C3AEC7" w14:textId="77777777" w:rsidR="00192031" w:rsidRPr="009D2B56" w:rsidRDefault="00192031" w:rsidP="00D837D9">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083DD3D9" w14:textId="77777777" w:rsidTr="00D837D9">
        <w:tc>
          <w:tcPr>
            <w:tcW w:w="1002" w:type="dxa"/>
          </w:tcPr>
          <w:p w14:paraId="04FAB220"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0901D7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53C81029"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3D20E73C"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1669</w:t>
            </w:r>
          </w:p>
        </w:tc>
        <w:tc>
          <w:tcPr>
            <w:tcW w:w="1276" w:type="dxa"/>
          </w:tcPr>
          <w:p w14:paraId="3253C9AE"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0.62</w:t>
            </w:r>
          </w:p>
        </w:tc>
        <w:tc>
          <w:tcPr>
            <w:tcW w:w="2409" w:type="dxa"/>
          </w:tcPr>
          <w:p w14:paraId="536CECBB"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12.0</w:t>
            </w:r>
          </w:p>
        </w:tc>
        <w:tc>
          <w:tcPr>
            <w:tcW w:w="895" w:type="dxa"/>
          </w:tcPr>
          <w:p w14:paraId="14C29794"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5.1</w:t>
            </w:r>
          </w:p>
        </w:tc>
      </w:tr>
      <w:tr w:rsidR="00192031" w:rsidRPr="009D2B56" w14:paraId="218F39BC" w14:textId="77777777" w:rsidTr="00D837D9">
        <w:tc>
          <w:tcPr>
            <w:tcW w:w="1002" w:type="dxa"/>
          </w:tcPr>
          <w:p w14:paraId="46F4DF75"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3B2D6B1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587308AE"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020F08C"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2579</w:t>
            </w:r>
          </w:p>
        </w:tc>
        <w:tc>
          <w:tcPr>
            <w:tcW w:w="1276" w:type="dxa"/>
          </w:tcPr>
          <w:p w14:paraId="1AB915EF"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498B3AF4"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14.0</w:t>
            </w:r>
          </w:p>
        </w:tc>
        <w:tc>
          <w:tcPr>
            <w:tcW w:w="895" w:type="dxa"/>
          </w:tcPr>
          <w:p w14:paraId="7D618744"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22EC831E" w14:textId="77777777" w:rsidTr="00D837D9">
        <w:tc>
          <w:tcPr>
            <w:tcW w:w="1002" w:type="dxa"/>
          </w:tcPr>
          <w:p w14:paraId="0EA6A8DB"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AA89EF2"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21E66509"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1EBEC9D0"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768</w:t>
            </w:r>
          </w:p>
        </w:tc>
        <w:tc>
          <w:tcPr>
            <w:tcW w:w="1276" w:type="dxa"/>
          </w:tcPr>
          <w:p w14:paraId="1850E53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0.80</w:t>
            </w:r>
          </w:p>
        </w:tc>
        <w:tc>
          <w:tcPr>
            <w:tcW w:w="2409" w:type="dxa"/>
          </w:tcPr>
          <w:p w14:paraId="7277233C"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1.3</w:t>
            </w:r>
          </w:p>
        </w:tc>
        <w:tc>
          <w:tcPr>
            <w:tcW w:w="895" w:type="dxa"/>
          </w:tcPr>
          <w:p w14:paraId="5F8F98F9"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0.6</w:t>
            </w:r>
          </w:p>
        </w:tc>
      </w:tr>
      <w:tr w:rsidR="00192031" w:rsidRPr="009D2B56" w14:paraId="6A4E31DF" w14:textId="77777777" w:rsidTr="00D837D9">
        <w:tc>
          <w:tcPr>
            <w:tcW w:w="1002" w:type="dxa"/>
          </w:tcPr>
          <w:p w14:paraId="666ED6A2"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452D02A8"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6ACBBFE5"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58D9E5E"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173</w:t>
            </w:r>
          </w:p>
        </w:tc>
        <w:tc>
          <w:tcPr>
            <w:tcW w:w="1276" w:type="dxa"/>
          </w:tcPr>
          <w:p w14:paraId="45013E76" w14:textId="77777777" w:rsidR="00192031" w:rsidRPr="00263884" w:rsidRDefault="00192031" w:rsidP="00D837D9">
            <w:pPr>
              <w:spacing w:line="240" w:lineRule="auto"/>
              <w:ind w:left="0" w:hanging="2"/>
              <w:jc w:val="center"/>
              <w:rPr>
                <w:rFonts w:asciiTheme="minorHAnsi" w:hAnsiTheme="minorHAnsi"/>
                <w:sz w:val="18"/>
                <w:szCs w:val="18"/>
              </w:rPr>
            </w:pPr>
            <w:r w:rsidRPr="00263884">
              <w:rPr>
                <w:rFonts w:asciiTheme="minorHAnsi" w:hAnsiTheme="minorHAnsi"/>
                <w:sz w:val="18"/>
                <w:szCs w:val="18"/>
              </w:rPr>
              <w:t>0.42</w:t>
            </w:r>
          </w:p>
        </w:tc>
        <w:tc>
          <w:tcPr>
            <w:tcW w:w="2409" w:type="dxa"/>
          </w:tcPr>
          <w:p w14:paraId="5BC60530"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56C1F7D9"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2CD3FA4C" w14:textId="77777777" w:rsidTr="00D837D9">
        <w:tc>
          <w:tcPr>
            <w:tcW w:w="1002" w:type="dxa"/>
          </w:tcPr>
          <w:p w14:paraId="54DC2362"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1C464B9B"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4FCF4D74"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EDB344E"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153</w:t>
            </w:r>
          </w:p>
        </w:tc>
        <w:tc>
          <w:tcPr>
            <w:tcW w:w="1276" w:type="dxa"/>
          </w:tcPr>
          <w:p w14:paraId="1A727406" w14:textId="77777777" w:rsidR="00192031" w:rsidRPr="00263884" w:rsidRDefault="00192031" w:rsidP="00D837D9">
            <w:pPr>
              <w:spacing w:line="240" w:lineRule="auto"/>
              <w:ind w:left="0" w:hanging="2"/>
              <w:jc w:val="center"/>
              <w:rPr>
                <w:rFonts w:asciiTheme="minorHAnsi" w:hAnsiTheme="minorHAnsi"/>
                <w:sz w:val="18"/>
                <w:szCs w:val="18"/>
              </w:rPr>
            </w:pPr>
            <w:r w:rsidRPr="00263884">
              <w:rPr>
                <w:rFonts w:asciiTheme="minorHAnsi" w:hAnsiTheme="minorHAnsi"/>
                <w:sz w:val="18"/>
                <w:szCs w:val="18"/>
              </w:rPr>
              <w:t>0.34</w:t>
            </w:r>
          </w:p>
        </w:tc>
        <w:tc>
          <w:tcPr>
            <w:tcW w:w="2409" w:type="dxa"/>
          </w:tcPr>
          <w:p w14:paraId="33D9BBEF"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430B8AAD"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6C61F77D" w14:textId="77777777" w:rsidTr="00D837D9">
        <w:tc>
          <w:tcPr>
            <w:tcW w:w="1002" w:type="dxa"/>
            <w:tcBorders>
              <w:bottom w:val="single" w:sz="4" w:space="0" w:color="auto"/>
            </w:tcBorders>
          </w:tcPr>
          <w:p w14:paraId="5B35FB37"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Borders>
              <w:bottom w:val="single" w:sz="4" w:space="0" w:color="auto"/>
            </w:tcBorders>
          </w:tcPr>
          <w:p w14:paraId="40F3635E"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5437E6B0"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7F99CA19"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3350</w:t>
            </w:r>
          </w:p>
        </w:tc>
        <w:tc>
          <w:tcPr>
            <w:tcW w:w="1276" w:type="dxa"/>
            <w:tcBorders>
              <w:bottom w:val="single" w:sz="4" w:space="0" w:color="auto"/>
            </w:tcBorders>
          </w:tcPr>
          <w:p w14:paraId="49EB0AF5"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0.93</w:t>
            </w:r>
          </w:p>
        </w:tc>
        <w:tc>
          <w:tcPr>
            <w:tcW w:w="2409" w:type="dxa"/>
            <w:tcBorders>
              <w:bottom w:val="single" w:sz="4" w:space="0" w:color="auto"/>
            </w:tcBorders>
          </w:tcPr>
          <w:p w14:paraId="591025CE"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1.4</w:t>
            </w:r>
          </w:p>
        </w:tc>
        <w:tc>
          <w:tcPr>
            <w:tcW w:w="895" w:type="dxa"/>
            <w:tcBorders>
              <w:bottom w:val="single" w:sz="4" w:space="0" w:color="auto"/>
            </w:tcBorders>
          </w:tcPr>
          <w:p w14:paraId="5B8730A4" w14:textId="77777777" w:rsidR="00192031" w:rsidRPr="009D2B56" w:rsidRDefault="00192031" w:rsidP="00D837D9">
            <w:pPr>
              <w:spacing w:line="240" w:lineRule="auto"/>
              <w:ind w:left="0" w:hanging="2"/>
              <w:jc w:val="center"/>
              <w:rPr>
                <w:rFonts w:asciiTheme="minorHAnsi" w:hAnsiTheme="minorHAnsi"/>
                <w:sz w:val="18"/>
                <w:szCs w:val="18"/>
              </w:rPr>
            </w:pPr>
            <w:r w:rsidRPr="009D2B56">
              <w:rPr>
                <w:rFonts w:asciiTheme="minorHAnsi" w:hAnsiTheme="minorHAnsi"/>
                <w:sz w:val="18"/>
                <w:szCs w:val="18"/>
              </w:rPr>
              <w:t>0.00</w:t>
            </w:r>
          </w:p>
        </w:tc>
      </w:tr>
    </w:tbl>
    <w:p w14:paraId="0560768B" w14:textId="77777777" w:rsidR="00192031" w:rsidRDefault="00192031">
      <w:pPr>
        <w:spacing w:line="480" w:lineRule="auto"/>
        <w:ind w:leftChars="0" w:left="0" w:firstLineChars="0" w:firstLine="0"/>
        <w:jc w:val="both"/>
        <w:rPr>
          <w:rFonts w:asciiTheme="minorHAnsi" w:hAnsiTheme="minorHAnsi"/>
        </w:rPr>
      </w:pPr>
    </w:p>
    <w:p w14:paraId="60B056FC" w14:textId="77777777" w:rsidR="00CC4A8D" w:rsidRDefault="00B244F2">
      <w:pPr>
        <w:spacing w:line="480" w:lineRule="auto"/>
        <w:ind w:leftChars="0" w:left="0" w:firstLineChars="0" w:firstLine="0"/>
        <w:jc w:val="both"/>
        <w:rPr>
          <w:rFonts w:asciiTheme="minorHAnsi" w:hAnsiTheme="minorHAnsi"/>
        </w:rPr>
      </w:pPr>
      <w:r>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E129D9">
        <w:rPr>
          <w:rFonts w:asciiTheme="minorHAnsi" w:hAnsiTheme="minorHAnsi"/>
        </w:rPr>
        <w:t xml:space="preserve"> (Fig. 4, 5</w:t>
      </w:r>
      <w:r w:rsidR="00EB48BB">
        <w:rPr>
          <w:rFonts w:asciiTheme="minorHAnsi" w:hAnsiTheme="minorHAnsi"/>
        </w:rPr>
        <w:t>, 6</w:t>
      </w:r>
      <w:r w:rsidR="00E129D9">
        <w:rPr>
          <w:rFonts w:asciiTheme="minorHAnsi" w:hAnsiTheme="minorHAnsi"/>
        </w:rPr>
        <w:t>)</w:t>
      </w:r>
      <w:r>
        <w:rPr>
          <w:rFonts w:asciiTheme="minorHAnsi" w:hAnsiTheme="minorHAnsi"/>
        </w:rPr>
        <w:t>.</w:t>
      </w:r>
    </w:p>
    <w:p w14:paraId="6805ECFE" w14:textId="77777777" w:rsidR="00CC4A8D" w:rsidRDefault="001C22EB">
      <w:pPr>
        <w:pStyle w:val="Caption"/>
        <w:keepNext/>
        <w:ind w:left="0" w:hanging="2"/>
        <w:jc w:val="both"/>
        <w:rPr>
          <w:rFonts w:asciiTheme="minorHAnsi" w:hAnsiTheme="minorHAnsi"/>
          <w:sz w:val="20"/>
        </w:rPr>
      </w:pPr>
      <w:commentRangeStart w:id="21"/>
      <w:r>
        <w:rPr>
          <w:rFonts w:asciiTheme="minorHAnsi" w:hAnsiTheme="minorHAnsi"/>
          <w:noProof/>
          <w:sz w:val="20"/>
        </w:rPr>
        <w:lastRenderedPageBreak/>
        <w:drawing>
          <wp:inline distT="0" distB="0" distL="0" distR="0" wp14:anchorId="3DC35AF3" wp14:editId="0A84ED94">
            <wp:extent cx="5915025" cy="3943350"/>
            <wp:effectExtent l="0" t="0" r="952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5025" cy="3943350"/>
                    </a:xfrm>
                    <a:prstGeom prst="rect">
                      <a:avLst/>
                    </a:prstGeom>
                  </pic:spPr>
                </pic:pic>
              </a:graphicData>
            </a:graphic>
          </wp:inline>
        </w:drawing>
      </w:r>
      <w:commentRangeEnd w:id="21"/>
      <w:r w:rsidR="00156CCB">
        <w:rPr>
          <w:rStyle w:val="CommentReference"/>
          <w:i w:val="0"/>
          <w:iCs w:val="0"/>
        </w:rPr>
        <w:commentReference w:id="21"/>
      </w:r>
    </w:p>
    <w:p w14:paraId="4661B83F"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Figure 4: Spearman correlation between two halves of randomly selected subsets of the datasets for mangabeys (green), East chimpanzee community (yellow) and South chimpanzee community (blue) for grooming, body contact, proximity,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DE618E9" w14:textId="77777777" w:rsidR="00E129D9" w:rsidRDefault="00E129D9">
      <w:pPr>
        <w:widowControl/>
        <w:spacing w:after="160" w:line="259" w:lineRule="auto"/>
        <w:ind w:leftChars="0" w:left="0" w:firstLineChars="0" w:firstLine="0"/>
        <w:textAlignment w:val="auto"/>
        <w:outlineLvl w:val="9"/>
        <w:rPr>
          <w:rFonts w:asciiTheme="minorHAnsi" w:hAnsiTheme="minorHAnsi"/>
          <w:i/>
        </w:rPr>
      </w:pPr>
      <w:r>
        <w:rPr>
          <w:rFonts w:asciiTheme="minorHAnsi" w:hAnsiTheme="minorHAnsi"/>
          <w:i/>
        </w:rPr>
        <w:br w:type="page"/>
      </w:r>
    </w:p>
    <w:p w14:paraId="6F567C2E" w14:textId="77777777" w:rsidR="00E129D9" w:rsidRPr="00E129D9" w:rsidRDefault="00E129D9">
      <w:pPr>
        <w:spacing w:line="480" w:lineRule="auto"/>
        <w:ind w:leftChars="0" w:left="0" w:firstLineChars="0" w:firstLine="0"/>
        <w:jc w:val="both"/>
        <w:rPr>
          <w:rFonts w:asciiTheme="minorHAnsi" w:hAnsiTheme="minorHAnsi"/>
          <w:iCs/>
        </w:rPr>
      </w:pPr>
      <w:r>
        <w:rPr>
          <w:rFonts w:asciiTheme="minorHAnsi" w:hAnsiTheme="minorHAnsi"/>
          <w:iCs/>
          <w:noProof/>
        </w:rPr>
        <w:lastRenderedPageBreak/>
        <w:drawing>
          <wp:inline distT="0" distB="0" distL="0" distR="0" wp14:anchorId="289AFD51" wp14:editId="5CF4C8E4">
            <wp:extent cx="5486400" cy="3657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3E6F33C"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Figure 5: Spearman correlation between two halves of randomly selected subsets of the datasets for mangabeys (green), East chimpanzee community (yellow) and South chimpanzee community (blue) for nonphysical aggression, physical aggression, and food sharing.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77777777" w:rsidR="00E129D9" w:rsidRDefault="00E129D9">
      <w:pPr>
        <w:spacing w:line="480" w:lineRule="auto"/>
        <w:ind w:leftChars="0" w:left="0" w:firstLineChars="0" w:firstLine="0"/>
        <w:jc w:val="both"/>
        <w:rPr>
          <w:rFonts w:asciiTheme="minorHAnsi" w:hAnsiTheme="minorHAnsi"/>
          <w:i/>
        </w:rPr>
      </w:pPr>
    </w:p>
    <w:p w14:paraId="712708F3" w14:textId="77777777" w:rsidR="00CC4A8D" w:rsidRDefault="00B244F2">
      <w:pPr>
        <w:spacing w:line="480" w:lineRule="auto"/>
        <w:ind w:leftChars="0" w:left="0" w:firstLineChars="0" w:firstLine="0"/>
        <w:jc w:val="both"/>
        <w:rPr>
          <w:rFonts w:asciiTheme="minorHAnsi" w:hAnsiTheme="minorHAnsi"/>
          <w:i/>
        </w:rPr>
      </w:pPr>
      <w:r>
        <w:rPr>
          <w:rFonts w:asciiTheme="minorHAnsi" w:hAnsiTheme="minorHAnsi"/>
          <w:i/>
        </w:rPr>
        <w:t>Mangabeys</w:t>
      </w:r>
    </w:p>
    <w:p w14:paraId="018F4A3E" w14:textId="77777777" w:rsidR="00381820" w:rsidRDefault="00B244F2">
      <w:pPr>
        <w:spacing w:line="480" w:lineRule="auto"/>
        <w:ind w:leftChars="0" w:left="0" w:firstLineChars="0" w:firstLine="0"/>
        <w:jc w:val="both"/>
        <w:rPr>
          <w:rFonts w:asciiTheme="minorHAnsi" w:hAnsiTheme="minorHAnsi"/>
        </w:rPr>
      </w:pPr>
      <w:r>
        <w:rPr>
          <w:rFonts w:asciiTheme="minorHAnsi" w:hAnsiTheme="minorHAnsi"/>
        </w:rPr>
        <w:t xml:space="preserve">For the mangabeys, overall aggression rates (1.3 interactions/dyad, SD=0.2), grooming (1.8 interactions/dyad, SD=0.4), and supplants (2.1 interactions/dyad, SD=0.5), were among the most consistent behaviours we observed for all groups, indicating that individuals observing a subset of interactions in the community would be able to predict future interactions (Fig. </w:t>
      </w:r>
      <w:r w:rsidR="00381820">
        <w:rPr>
          <w:rFonts w:asciiTheme="minorHAnsi" w:hAnsiTheme="minorHAnsi"/>
        </w:rPr>
        <w:t>4,5;</w:t>
      </w:r>
      <w:r>
        <w:rPr>
          <w:rFonts w:asciiTheme="minorHAnsi" w:hAnsiTheme="minorHAnsi"/>
        </w:rPr>
        <w:t xml:space="preserve"> Tab. 1). Body contact (7.4 interactions/dyad, SD=1.4) and proximity (14.5 interactions/dyad, SD=2.5) were much less consistent.</w:t>
      </w:r>
    </w:p>
    <w:p w14:paraId="711FD8A7" w14:textId="77777777" w:rsidR="00CC4A8D" w:rsidRDefault="00B244F2">
      <w:pPr>
        <w:spacing w:before="120" w:line="480" w:lineRule="auto"/>
        <w:ind w:leftChars="0" w:left="0" w:firstLineChars="0" w:firstLine="0"/>
        <w:jc w:val="both"/>
        <w:rPr>
          <w:rFonts w:asciiTheme="minorHAnsi" w:eastAsia="Calibri" w:hAnsiTheme="minorHAnsi"/>
          <w:i/>
        </w:rPr>
      </w:pPr>
      <w:r>
        <w:rPr>
          <w:rFonts w:asciiTheme="minorHAnsi" w:eastAsia="Calibri" w:hAnsiTheme="minorHAnsi"/>
          <w:i/>
        </w:rPr>
        <w:t>Chimpanzees</w:t>
      </w:r>
    </w:p>
    <w:p w14:paraId="6DC77E58" w14:textId="77777777" w:rsidR="00381820"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rPr>
        <w:lastRenderedPageBreak/>
        <w:t>As in the mangabeys, overall aggression rates were highly consistent in both chimpanzee communities (Table 1), more so in South (1.3 interactions/dyad, SD=0.6) than in East (2.6 interactions/dyad, SD=0.9). The larger standard deviation in the chimpanzees compared to the mangabeys might indicate changes of aggression patterns over time. Pant grunt interactions in both communities showed the most predictable patterns (East: 0.9 interactions/dyad, SD=0.1; South: 1.4 interactions/dyad, SD=0.0</w:t>
      </w:r>
      <w:del w:id="22" w:author="anna" w:date="2020-05-17T12:19:00Z">
        <w:r w:rsidDel="00AF4AF2">
          <w:rPr>
            <w:rFonts w:asciiTheme="minorHAnsi" w:eastAsia="Calibri" w:hAnsiTheme="minorHAnsi"/>
          </w:rPr>
          <w:delText>0</w:delText>
        </w:r>
      </w:del>
      <w:r>
        <w:rPr>
          <w:rFonts w:asciiTheme="minorHAnsi" w:eastAsia="Calibri" w:hAnsiTheme="minorHAnsi"/>
        </w:rPr>
        <w:t>). Grooming was less consistent than in the mangabeys (East: 4.7 interactions/dyad, SD=2.0; South: 4.2 interactions/dyad, SD=2.5), with the large standard deviation indicating changes in interaction patterns over the course of the study period. Body contact (East: 11.7 interactions/dyad, SD=5.6; South: 12.0 interactions/dyad, SD=5.1) and proximity (East: 13.1 interactions/dyad, SD=6.2; South: 14.0 interactions/dyad, SD=5.6) were considerably less predictable than the directed interaction types. This indicates that in all three communities, most dyads will feed and rest in close proximity with a wide variety of partners, while they direct interactions at a smaller and more stable subset of group members.</w:t>
      </w:r>
    </w:p>
    <w:p w14:paraId="1946EF21" w14:textId="77777777" w:rsidR="00CC4A8D" w:rsidRDefault="00381820">
      <w:pPr>
        <w:spacing w:before="120" w:line="480" w:lineRule="auto"/>
        <w:ind w:leftChars="0" w:left="0" w:firstLineChars="0" w:firstLine="0"/>
        <w:jc w:val="both"/>
        <w:rPr>
          <w:rFonts w:asciiTheme="minorHAnsi" w:eastAsia="Calibri" w:hAnsiTheme="minorHAnsi"/>
        </w:rPr>
      </w:pPr>
      <w:commentRangeStart w:id="23"/>
      <w:r>
        <w:rPr>
          <w:rFonts w:asciiTheme="minorHAnsi" w:eastAsia="Calibri" w:hAnsiTheme="minorHAnsi"/>
          <w:noProof/>
        </w:rPr>
        <w:lastRenderedPageBreak/>
        <w:drawing>
          <wp:inline distT="0" distB="0" distL="0" distR="0" wp14:anchorId="35CBC312" wp14:editId="6507671F">
            <wp:extent cx="5943600" cy="3714750"/>
            <wp:effectExtent l="0" t="0" r="0" b="0"/>
            <wp:docPr id="3" name="Picture 3"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23"/>
      <w:r w:rsidR="00AF4AF2">
        <w:rPr>
          <w:rStyle w:val="CommentReference"/>
        </w:rPr>
        <w:commentReference w:id="23"/>
      </w:r>
      <w:r w:rsidR="00B244F2">
        <w:rPr>
          <w:rFonts w:asciiTheme="minorHAnsi" w:eastAsia="Calibri" w:hAnsiTheme="minorHAnsi"/>
        </w:rPr>
        <w:t xml:space="preserve"> </w:t>
      </w:r>
    </w:p>
    <w:p w14:paraId="515093E3" w14:textId="77777777" w:rsidR="00CC4A8D" w:rsidRPr="00381820" w:rsidRDefault="00381820" w:rsidP="00381820">
      <w:pPr>
        <w:pStyle w:val="Caption"/>
        <w:spacing w:line="240" w:lineRule="auto"/>
        <w:ind w:left="0" w:hanging="2"/>
        <w:jc w:val="both"/>
        <w:rPr>
          <w:rFonts w:asciiTheme="minorHAnsi" w:eastAsia="Calibri" w:hAnsiTheme="minorHAnsi"/>
          <w:iCs w:val="0"/>
          <w:sz w:val="18"/>
          <w:szCs w:val="18"/>
        </w:rPr>
      </w:pPr>
      <w:r w:rsidRPr="00381820">
        <w:rPr>
          <w:rFonts w:asciiTheme="minorHAnsi" w:eastAsia="Calibri" w:hAnsiTheme="minorHAnsi"/>
          <w:iCs w:val="0"/>
          <w:sz w:val="18"/>
          <w:szCs w:val="18"/>
        </w:rPr>
        <w:t>Figure 6: Summary of the mean number of interactions needed per dyad to reach correlations between halves of r = 0.5 (mangabeys: green triangles, East: red point, South: blue square).</w:t>
      </w:r>
    </w:p>
    <w:p w14:paraId="1B464F92" w14:textId="77777777" w:rsidR="00381820" w:rsidRDefault="00381820">
      <w:pPr>
        <w:spacing w:before="120" w:line="480" w:lineRule="auto"/>
        <w:ind w:leftChars="0" w:left="0" w:firstLineChars="0" w:firstLine="0"/>
        <w:jc w:val="both"/>
        <w:rPr>
          <w:rFonts w:asciiTheme="minorHAnsi" w:hAnsiTheme="minorHAnsi"/>
          <w:b/>
        </w:rPr>
      </w:pPr>
    </w:p>
    <w:p w14:paraId="7367614A" w14:textId="77777777" w:rsidR="00CC4A8D" w:rsidRDefault="00B244F2">
      <w:pPr>
        <w:spacing w:before="120" w:line="480" w:lineRule="auto"/>
        <w:ind w:leftChars="0" w:left="0" w:firstLineChars="0" w:firstLine="0"/>
        <w:jc w:val="both"/>
        <w:rPr>
          <w:rFonts w:asciiTheme="minorHAnsi" w:hAnsiTheme="minorHAnsi"/>
          <w:b/>
        </w:rPr>
      </w:pPr>
      <w:r>
        <w:rPr>
          <w:rFonts w:asciiTheme="minorHAnsi" w:hAnsiTheme="minorHAnsi"/>
          <w:b/>
        </w:rPr>
        <w:t>DISCUSSION</w:t>
      </w:r>
    </w:p>
    <w:p w14:paraId="600C3823" w14:textId="65B65EE3" w:rsidR="00CC4A8D" w:rsidRDefault="00B244F2">
      <w:pPr>
        <w:spacing w:before="120" w:line="480" w:lineRule="auto"/>
        <w:ind w:leftChars="0" w:left="0" w:firstLineChars="0" w:firstLine="0"/>
        <w:jc w:val="both"/>
        <w:rPr>
          <w:rFonts w:asciiTheme="minorHAnsi" w:hAnsiTheme="minorHAnsi"/>
        </w:rPr>
      </w:pPr>
      <w:r>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Pr>
          <w:rFonts w:asciiTheme="minorHAnsi" w:hAnsiTheme="minorHAnsi"/>
        </w:rPr>
        <w:fldChar w:fldCharType="begin" w:fldLock="1"/>
      </w:r>
      <w:r w:rsidR="00792622">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Pr>
          <w:rFonts w:asciiTheme="minorHAnsi" w:hAnsiTheme="minorHAnsi"/>
        </w:rPr>
        <w:fldChar w:fldCharType="separate"/>
      </w:r>
      <w:r w:rsidR="00F57648" w:rsidRPr="00F57648">
        <w:rPr>
          <w:rFonts w:asciiTheme="minorHAnsi" w:hAnsiTheme="minorHAnsi"/>
          <w:noProof/>
        </w:rPr>
        <w:t>(Dunbar &amp; Shultz, 2010; Lukas &amp; Clutton-Brock, 2018)</w:t>
      </w:r>
      <w:r>
        <w:rPr>
          <w:rFonts w:asciiTheme="minorHAnsi" w:hAnsiTheme="minorHAnsi"/>
        </w:rPr>
        <w:fldChar w:fldCharType="end"/>
      </w:r>
      <w:r>
        <w:rPr>
          <w:rFonts w:asciiTheme="minorHAnsi" w:hAnsiTheme="minorHAnsi"/>
        </w:rPr>
        <w:t xml:space="preserve">. Here, </w:t>
      </w:r>
      <w:r w:rsidR="00826E7E">
        <w:rPr>
          <w:rFonts w:asciiTheme="minorHAnsi" w:hAnsiTheme="minorHAnsi"/>
        </w:rPr>
        <w:t>o</w:t>
      </w:r>
      <w:r>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Pr>
          <w:rFonts w:asciiTheme="minorHAnsi" w:hAnsiTheme="minorHAnsi"/>
        </w:rPr>
        <w:t xml:space="preserve"> yet again that animal lives cannot be capture</w:t>
      </w:r>
      <w:ins w:id="24" w:author="anna" w:date="2020-05-17T12:21:00Z">
        <w:r w:rsidR="00AF4AF2">
          <w:rPr>
            <w:rFonts w:asciiTheme="minorHAnsi" w:hAnsiTheme="minorHAnsi"/>
          </w:rPr>
          <w:t>d</w:t>
        </w:r>
      </w:ins>
      <w:r w:rsidR="00826E7E">
        <w:rPr>
          <w:rFonts w:asciiTheme="minorHAnsi" w:hAnsiTheme="minorHAnsi"/>
        </w:rPr>
        <w:t xml:space="preserve"> using one simplistic measure of complexity: challenges differ within </w:t>
      </w:r>
      <w:r w:rsidR="00F50CE9">
        <w:rPr>
          <w:rFonts w:asciiTheme="minorHAnsi" w:hAnsiTheme="minorHAnsi"/>
        </w:rPr>
        <w:t>and between species, and we need multi-dimensional measures to quantify where ‘complexity’ really arises.</w:t>
      </w:r>
      <w:r>
        <w:rPr>
          <w:rFonts w:asciiTheme="minorHAnsi" w:hAnsiTheme="minorHAnsi"/>
        </w:rPr>
        <w:t xml:space="preserve"> </w:t>
      </w:r>
    </w:p>
    <w:p w14:paraId="4FD2720D" w14:textId="77777777" w:rsidR="00CC4A8D" w:rsidRDefault="00B244F2">
      <w:pPr>
        <w:spacing w:before="120" w:line="480" w:lineRule="auto"/>
        <w:ind w:leftChars="0" w:left="0" w:firstLineChars="0" w:firstLine="0"/>
        <w:jc w:val="both"/>
        <w:rPr>
          <w:rStyle w:val="FootnoteReference"/>
          <w:rFonts w:asciiTheme="minorHAnsi" w:hAnsiTheme="minorHAnsi"/>
          <w:vertAlign w:val="baseline"/>
        </w:rPr>
      </w:pPr>
      <w:r>
        <w:rPr>
          <w:rFonts w:asciiTheme="minorHAnsi" w:hAnsiTheme="minorHAnsi"/>
        </w:rPr>
        <w:lastRenderedPageBreak/>
        <w:t xml:space="preserve">This study introduces a consistency measure, repeatedly dividing the dataset into halves and comparing how well these predict each other, which serves two functions. Researchers can use it to find out whether they have collected sufficient data for their dataset to be internally consistent, given a community of a certain size and an interaction type with a specific diversity of partner choice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 xml:space="preserve">. In our sample, despite pooling 18 months of data, food sharing and contact aggressions </w:t>
      </w:r>
      <w:r w:rsidR="00F50CE9">
        <w:rPr>
          <w:rFonts w:asciiTheme="minorHAnsi" w:hAnsiTheme="minorHAnsi"/>
        </w:rPr>
        <w:t>were</w:t>
      </w:r>
      <w:r>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Pr>
          <w:rFonts w:asciiTheme="minorHAnsi" w:hAnsiTheme="minorHAnsi"/>
        </w:rPr>
        <w:fldChar w:fldCharType="begin" w:fldLock="1"/>
      </w:r>
      <w:r>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w:instrText>
      </w:r>
      <w:r>
        <w:rPr>
          <w:rFonts w:asciiTheme="minorHAnsi" w:hAnsiTheme="minorHAnsi"/>
          <w:lang w:val="en-US"/>
        </w:rPr>
        <w:instrText>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hAnsiTheme="minorHAnsi"/>
        </w:rPr>
        <w:fldChar w:fldCharType="separate"/>
      </w:r>
      <w:r>
        <w:rPr>
          <w:rFonts w:asciiTheme="minorHAnsi" w:hAnsiTheme="minorHAnsi"/>
          <w:noProof/>
          <w:lang w:val="en-US"/>
        </w:rPr>
        <w:t>(Davis et al., 2018)</w:t>
      </w:r>
      <w:r>
        <w:rPr>
          <w:rFonts w:asciiTheme="minorHAnsi" w:hAnsiTheme="minorHAnsi"/>
        </w:rPr>
        <w:fldChar w:fldCharType="end"/>
      </w:r>
      <w:r>
        <w:rPr>
          <w:rFonts w:asciiTheme="minorHAnsi" w:hAnsiTheme="minorHAnsi"/>
          <w:lang w:val="en-US"/>
        </w:rPr>
        <w:t xml:space="preserve">, but this might not be the case for rare interaction types. </w:t>
      </w:r>
      <w:r>
        <w:rPr>
          <w:rFonts w:asciiTheme="minorHAnsi" w:hAnsiTheme="minorHAnsi"/>
        </w:rPr>
        <w:t>One way to understand patterns driving interaction patterns for rare interaction types would be to test the factors</w:t>
      </w:r>
      <w:r w:rsidR="00F50CE9">
        <w:rPr>
          <w:rFonts w:asciiTheme="minorHAnsi" w:hAnsiTheme="minorHAnsi"/>
        </w:rPr>
        <w:t xml:space="preserve"> </w:t>
      </w:r>
      <w:r>
        <w:rPr>
          <w:rFonts w:asciiTheme="minorHAnsi" w:hAnsiTheme="minorHAnsi"/>
        </w:rPr>
        <w:t xml:space="preserve">influencing decisions by comparing each partner choice an individual makes against the alternatives they did not choose </w:t>
      </w:r>
      <w:r>
        <w:rPr>
          <w:rStyle w:val="FootnoteReference"/>
          <w:rFonts w:asciiTheme="minorHAnsi" w:hAnsiTheme="minorHAnsi"/>
        </w:rPr>
        <w:fldChar w:fldCharType="begin" w:fldLock="1"/>
      </w:r>
      <w:r>
        <w:rPr>
          <w:rFonts w:asciiTheme="minorHAnsi" w:hAnsiTheme="minorHAnsi"/>
        </w:rPr>
        <w:instrText>ADDIN CSL_CITATION {"citationItems":[{"id":"ITEM-1","itemData":{"DOI":"10.1098/rsos.172143","ISSN":"20545703","abstract":"Living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Science","id":"ITEM-1","issue":"7","issued":{"date-parts":[["2018","7","11"]]},"page":"172143","title":"Flexible decision-making in grooming partner choice in sooty mangabeys and chimpanzees","type":"article-journal","volume":"5"},"uris":["http://www.mendeley.com/documents/?uuid=f98670e1-2f5d-4cc2-82ee-b24920f77eaf"]},{"id":"ITEM-2","itemData":{"DOI":"10.1098/rspb.2018.1643","ISSN":"14712954","PMID":"30305438","abstract":"Why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Sciences","id":"ITEM-2","issue":"1888","issued":{"date-parts":[["2018","10","10"]]},"page":"20181643","publisher":"The Royal Society","title":"Social bonds facilitate cooperative resource sharing in wild chimpanzees","type":"article-journal","volume":"285"},"uris":["http://www.mendeley.com/documents/?uuid=4f000663-d423-481c-a1a8-222fb6b56e93"]}],"mendeley":{"formattedCitation":"(Mielke et al., 2018; Samuni et al., 2018)","plainTextFormattedCitation":"(Mielke et al., 2018; Samuni et al., 2018)","previouslyFormattedCitation":"(Mielke et al., 2018; Samuni et al., 2018)"},"properties":{"noteIndex":0},"schema":"https://github.com/citation-style-language/schema/raw/master/csl-citation.json"}</w:instrText>
      </w:r>
      <w:r>
        <w:rPr>
          <w:rStyle w:val="FootnoteReference"/>
          <w:rFonts w:asciiTheme="minorHAnsi" w:hAnsiTheme="minorHAnsi"/>
        </w:rPr>
        <w:fldChar w:fldCharType="separate"/>
      </w:r>
      <w:r>
        <w:rPr>
          <w:rFonts w:asciiTheme="minorHAnsi" w:hAnsiTheme="minorHAnsi"/>
          <w:noProof/>
        </w:rPr>
        <w:t>(Mielke et al., 2018; Samuni et al., 2018)</w:t>
      </w:r>
      <w:r>
        <w:rPr>
          <w:rStyle w:val="FootnoteReference"/>
          <w:rFonts w:asciiTheme="minorHAnsi" w:hAnsiTheme="minorHAnsi"/>
        </w:rPr>
        <w:fldChar w:fldCharType="end"/>
      </w:r>
      <w:r>
        <w:rPr>
          <w:rStyle w:val="FootnoteReference"/>
          <w:rFonts w:asciiTheme="minorHAnsi" w:hAnsiTheme="minorHAnsi"/>
          <w:vertAlign w:val="baseline"/>
        </w:rPr>
        <w:t>.</w:t>
      </w:r>
      <w:r>
        <w:rPr>
          <w:rFonts w:asciiTheme="minorHAnsi" w:hAnsiTheme="minorHAnsi"/>
        </w:rPr>
        <w:t xml:space="preserve"> </w:t>
      </w:r>
      <w:r>
        <w:rPr>
          <w:rFonts w:asciiTheme="minorHAnsi" w:hAnsiTheme="minorHAnsi"/>
          <w:lang w:val="en-US"/>
        </w:rPr>
        <w:t>In order to assess changes in relationships over time, t</w:t>
      </w:r>
      <w:r>
        <w:rPr>
          <w:rStyle w:val="FootnoteReference"/>
          <w:rFonts w:asciiTheme="minorHAnsi" w:hAnsiTheme="minorHAnsi"/>
          <w:vertAlign w:val="baseline"/>
          <w:lang w:val="en-US"/>
        </w:rPr>
        <w:t>here has been a trend to cut datasets into smaller subsets and then compare n</w:t>
      </w:r>
      <w:r>
        <w:rPr>
          <w:rFonts w:asciiTheme="minorHAnsi" w:hAnsiTheme="minorHAnsi"/>
          <w:lang w:val="en-US"/>
        </w:rPr>
        <w:t>etwork overlap between these</w:t>
      </w:r>
      <w:r>
        <w:rPr>
          <w:rStyle w:val="FootnoteReference"/>
          <w:rFonts w:asciiTheme="minorHAnsi" w:hAnsiTheme="minorHAnsi"/>
          <w:vertAlign w:val="baseline"/>
          <w:lang w:val="en-US"/>
        </w:rPr>
        <w:t>, assuming that the data in each is sufficient to depict the underlying distribution in the community. With our consistency measure, seasonality and change could be established if smaller subsets would show higher consistency than larger subsets,</w:t>
      </w:r>
      <w:r>
        <w:rPr>
          <w:rFonts w:asciiTheme="minorHAnsi" w:hAnsiTheme="minorHAnsi"/>
          <w:lang w:val="en-US"/>
        </w:rPr>
        <w:t xml:space="preserve"> as random subsets retained consistent time intervals</w:t>
      </w:r>
      <w:r>
        <w:rPr>
          <w:rStyle w:val="FootnoteReference"/>
          <w:rFonts w:asciiTheme="minorHAnsi" w:hAnsiTheme="minorHAnsi"/>
          <w:vertAlign w:val="baseline"/>
          <w:lang w:val="en-US"/>
        </w:rPr>
        <w:t>. This was not the case for any i</w:t>
      </w:r>
      <w:r>
        <w:rPr>
          <w:rFonts w:asciiTheme="minorHAnsi" w:hAnsiTheme="minorHAnsi"/>
          <w:lang w:val="en-US"/>
        </w:rPr>
        <w:t>nteraction type, even though some interaction types showed high standard variation, and indication that consistency is high during some times but not others</w:t>
      </w:r>
      <w:r>
        <w:rPr>
          <w:rStyle w:val="FootnoteReference"/>
          <w:rFonts w:asciiTheme="minorHAnsi" w:hAnsiTheme="minorHAnsi"/>
          <w:vertAlign w:val="baseline"/>
          <w:lang w:val="en-US"/>
        </w:rPr>
        <w:t>.</w:t>
      </w:r>
      <w:r>
        <w:rPr>
          <w:rFonts w:asciiTheme="minorHAnsi" w:hAnsiTheme="minorHAnsi"/>
          <w:lang w:val="en-US"/>
        </w:rPr>
        <w:t xml:space="preserve"> </w:t>
      </w:r>
    </w:p>
    <w:p w14:paraId="576E46AC" w14:textId="42F859E8" w:rsidR="00CC4A8D" w:rsidRDefault="00B244F2" w:rsidP="003B3718">
      <w:pPr>
        <w:spacing w:before="120" w:line="480" w:lineRule="auto"/>
        <w:ind w:leftChars="0" w:left="0" w:firstLineChars="0" w:firstLine="0"/>
        <w:jc w:val="both"/>
        <w:rPr>
          <w:rFonts w:asciiTheme="minorHAnsi" w:hAnsiTheme="minorHAnsi"/>
        </w:rPr>
      </w:pPr>
      <w:r>
        <w:rPr>
          <w:rFonts w:asciiTheme="minorHAnsi" w:hAnsiTheme="minorHAnsi"/>
        </w:rPr>
        <w:t xml:space="preserve">The standardized consistency measure allowed us to segregate interaction types into those that needed either </w:t>
      </w:r>
      <w:r w:rsidR="007D050F">
        <w:rPr>
          <w:rFonts w:asciiTheme="minorHAnsi" w:hAnsiTheme="minorHAnsi"/>
        </w:rPr>
        <w:t>large</w:t>
      </w:r>
      <w:r>
        <w:rPr>
          <w:rFonts w:asciiTheme="minorHAnsi" w:hAnsiTheme="minorHAnsi"/>
        </w:rPr>
        <w:t xml:space="preserve"> or </w:t>
      </w:r>
      <w:r w:rsidR="007D050F">
        <w:rPr>
          <w:rFonts w:asciiTheme="minorHAnsi" w:hAnsiTheme="minorHAnsi"/>
        </w:rPr>
        <w:t xml:space="preserve">small </w:t>
      </w:r>
      <w:r>
        <w:rPr>
          <w:rFonts w:asciiTheme="minorHAnsi" w:hAnsiTheme="minorHAnsi"/>
        </w:rPr>
        <w:t>amounts of information to predict future interactions.</w:t>
      </w:r>
      <w:r w:rsidR="007D050F">
        <w:rPr>
          <w:rFonts w:asciiTheme="minorHAnsi" w:hAnsiTheme="minorHAnsi"/>
        </w:rPr>
        <w:t xml:space="preserve"> We use the </w:t>
      </w:r>
      <w:r w:rsidR="007D050F">
        <w:rPr>
          <w:rFonts w:asciiTheme="minorHAnsi" w:hAnsiTheme="minorHAnsi"/>
        </w:rPr>
        <w:lastRenderedPageBreak/>
        <w:t xml:space="preserve">number of interactions per dyad at which the majority of subset correlations exceeds the value </w:t>
      </w:r>
      <w:ins w:id="25" w:author="anna" w:date="2020-05-17T12:25:00Z">
        <w:r w:rsidR="00AF4AF2">
          <w:rPr>
            <w:rFonts w:asciiTheme="minorHAnsi" w:hAnsiTheme="minorHAnsi"/>
          </w:rPr>
          <w:t>r=</w:t>
        </w:r>
      </w:ins>
      <w:r w:rsidR="007D050F">
        <w:rPr>
          <w:rFonts w:asciiTheme="minorHAnsi" w:hAnsiTheme="minorHAnsi"/>
        </w:rPr>
        <w:t xml:space="preserve">0.5; while the value </w:t>
      </w:r>
      <w:ins w:id="26" w:author="anna" w:date="2020-05-17T12:25:00Z">
        <w:r w:rsidR="00AF4AF2">
          <w:rPr>
            <w:rFonts w:asciiTheme="minorHAnsi" w:hAnsiTheme="minorHAnsi"/>
          </w:rPr>
          <w:t>r=</w:t>
        </w:r>
      </w:ins>
      <w:r w:rsidR="007D050F">
        <w:rPr>
          <w:rFonts w:asciiTheme="minorHAnsi" w:hAnsiTheme="minorHAnsi"/>
        </w:rPr>
        <w:t>0.5 itself is arbitrary, using it across species and interaction types allows researchers to make comparative statements.</w:t>
      </w:r>
      <w:r>
        <w:rPr>
          <w:rFonts w:asciiTheme="minorHAnsi" w:hAnsiTheme="minorHAnsi"/>
        </w:rPr>
        <w:t xml:space="preserve"> </w:t>
      </w:r>
      <w:r w:rsidR="00F50CE9">
        <w:rPr>
          <w:rFonts w:asciiTheme="minorHAnsi" w:hAnsiTheme="minorHAnsi"/>
        </w:rPr>
        <w:t xml:space="preserve">Feeding </w:t>
      </w:r>
      <w:r>
        <w:rPr>
          <w:rFonts w:asciiTheme="minorHAnsi" w:hAnsiTheme="minorHAnsi"/>
        </w:rPr>
        <w:t>supplants and pant grunts</w:t>
      </w:r>
      <w:r w:rsidR="00F50CE9">
        <w:rPr>
          <w:rFonts w:asciiTheme="minorHAnsi" w:hAnsiTheme="minorHAnsi"/>
        </w:rPr>
        <w:t>, which are used to create hierarchies in the respective species,</w:t>
      </w:r>
      <w:r>
        <w:rPr>
          <w:rFonts w:asciiTheme="minorHAnsi" w:hAnsiTheme="minorHAnsi"/>
        </w:rPr>
        <w:t xml:space="preserve"> were highly consistent in the two species, indicating generally stable hierarchies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w:t>
      </w:r>
      <w:r w:rsidR="003B3718">
        <w:rPr>
          <w:rFonts w:asciiTheme="minorHAnsi" w:hAnsiTheme="minorHAnsi"/>
        </w:rPr>
        <w:t xml:space="preserve"> Consistency of aggression distribution did not vary between species.</w:t>
      </w:r>
      <w:r>
        <w:rPr>
          <w:rFonts w:asciiTheme="minorHAnsi" w:hAnsiTheme="minorHAnsi"/>
        </w:rPr>
        <w:t xml:space="preserve"> Despite being the larger community, mangabey interactions were generally more predictable than chimpanzee interaction patterns, with fewer grooming and body contact interactions per dyad needed to reach the consistency cut-off in mangabeys. Directed interactions (grooming, aggression, pant grunts/supplants) were consistent despite the inclusion of 18 months of data per community, indicating that most dyads interacted at relatively constant rates throughout the study period. The higher consistency of mangabey interactions could be the result of a highly stable dominance hierarchy </w:t>
      </w:r>
      <w:r>
        <w:rPr>
          <w:rFonts w:asciiTheme="minorHAnsi" w:hAnsiTheme="minorHAnsi"/>
        </w:rPr>
        <w:fldChar w:fldCharType="begin" w:fldLock="1"/>
      </w:r>
      <w:r>
        <w:rPr>
          <w:rFonts w:asciiTheme="minorHAns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mangabeys","type":"article-journal","volume":"4"},"uris":["http://www.mendeley.com/documents/?uuid=348a9a44-fe39-4295-b877-0fbaa4079659"]}],"mendeley":{"formattedCitation":"(Mielke et al., 2017)","plainTextFormattedCitation":"(Mielke et al., 2017)","previouslyFormattedCitation":"(Mielke et al., 2017)"},"properties":{"noteIndex":0},"schema":"https://github.com/citation-style-language/schema/raw/master/csl-citation.json"}</w:instrText>
      </w:r>
      <w:r>
        <w:rPr>
          <w:rFonts w:asciiTheme="minorHAnsi" w:hAnsiTheme="minorHAnsi"/>
        </w:rPr>
        <w:fldChar w:fldCharType="separate"/>
      </w:r>
      <w:r>
        <w:rPr>
          <w:rFonts w:asciiTheme="minorHAnsi" w:hAnsiTheme="minorHAnsi"/>
          <w:noProof/>
        </w:rPr>
        <w:t>(Mielke et al., 2017)</w:t>
      </w:r>
      <w:r>
        <w:rPr>
          <w:rFonts w:asciiTheme="minorHAnsi" w:hAnsiTheme="minorHAnsi"/>
        </w:rPr>
        <w:fldChar w:fldCharType="end"/>
      </w:r>
      <w:r>
        <w:rPr>
          <w:rFonts w:asciiTheme="minorHAnsi" w:hAnsiTheme="minorHAnsi"/>
        </w:rPr>
        <w:t xml:space="preserve">, few demographic changes </w:t>
      </w:r>
      <w:r>
        <w:rPr>
          <w:rFonts w:asciiTheme="minorHAnsi" w:hAnsiTheme="minorHAnsi"/>
        </w:rPr>
        <w:fldChar w:fldCharType="begin" w:fldLock="1"/>
      </w:r>
      <w:r w:rsidR="00F41459">
        <w:rPr>
          <w:rFonts w:asciiTheme="minorHAnsi" w:hAnsiTheme="minorHAnsi"/>
        </w:rPr>
        <w:instrText>ADDIN CSL_CITATION {"citationItems":[{"id":"ITEM-1","itemData":{"DOI":"10.1016/j.anbehav.2017.09.028","ISSN":"00033472","abstract":"From a cognitive point of view, management and knowledge of social relationships is thought to be very challenging. Because of ecological and demographic constraints, relationships are likely to be prone to variation and hence need constant updating. Social network analysis is a potential tool to quantify the information that needs to be processed. However, despite the growing number of studies on social networks, few have focused on their dynamics and how they evolve across time. Here we present one of the rare studies that tests the influence of demographic variation on social relationships' stability through temporal analysis. Using field data collected on three wild groups of vervet monkeys, Chlorocebus aethiops, we first analysed the relationships' stability by running correlations between 3-month periods. Then, we investigated how natural demographic variation changed individual centralities (eigenvector) and strength of dyadic relationships within both grooming and proximity networks over a period of 2 years. In vervets, females are philopatric, while males emigrate from their natal group. Thus, we tested whether changes in demography had more influence on network centrality measures and relationship strength in females and their juveniles than in males. Correlations between periods yielded no evidence that predictability of future relationship quality declined with time from current relationship quality. In addition, male immigration was mostly responsible for increases in the core group members' centrality while male emigration had the opposite effect. Regarding dyadic relationships, we found inconsistent patterns that varied with respect to how age/sex and immigration/disappearance affected the network studied (grooming versus proximity). Our findings support the idea that social networks are dynamic structures that vary through time. Similar analyses on other species are needed to investigate which network features emerge as candidates responsible for variation in the complexity with which individuals keep track of relationships.","author":[{"dropping-particle":"","family":"Borgeaud","given":"Christèle","non-dropping-particle":"","parse-names":false,"suffix":""},{"dropping-particle":"","family":"Sosa","given":"Sebastian","non-dropping-particle":"","parse-names":false,"suffix":""},{"dropping-particle":"","family":"Sueur","given":"Cédric","non-dropping-particle":"","parse-names":false,"suffix":""},{"dropping-particle":"","family":"Bshary","given":"Redouan","non-dropping-particle":"","parse-names":false,"suffix":""}],"container-title":"Animal Behaviour","id":"ITEM-1","issued":{"date-parts":[["2017"]]},"page":"155-165","publisher":"Academic Press","title":"The influence of demographic variation on social network stability in wild vervet monkeys","type":"article-journal","volume":"134"},"uris":["http://www.mendeley.com/documents/?uuid=dc72b31c-6a98-3723-90b4-038e2b9d4a50"]}],"mendeley":{"formattedCitation":"(Borgeaud et al., 2017)","plainTextFormattedCitation":"(Borgeaud et al., 2017)","previouslyFormattedCitation":"(Borgeaud et al., 2017)"},"properties":{"noteIndex":0},"schema":"https://github.com/citation-style-language/schema/raw/master/csl-citation.json"}</w:instrText>
      </w:r>
      <w:r>
        <w:rPr>
          <w:rFonts w:asciiTheme="minorHAnsi" w:hAnsiTheme="minorHAnsi"/>
        </w:rPr>
        <w:fldChar w:fldCharType="separate"/>
      </w:r>
      <w:r w:rsidR="0036699B" w:rsidRPr="0036699B">
        <w:rPr>
          <w:rFonts w:asciiTheme="minorHAnsi" w:hAnsiTheme="minorHAnsi"/>
          <w:noProof/>
        </w:rPr>
        <w:t>(Borgeaud et al., 2017)</w:t>
      </w:r>
      <w:r>
        <w:rPr>
          <w:rFonts w:asciiTheme="minorHAnsi" w:hAnsiTheme="minorHAnsi"/>
        </w:rPr>
        <w:fldChar w:fldCharType="end"/>
      </w:r>
      <w:r>
        <w:rPr>
          <w:rFonts w:asciiTheme="minorHAnsi" w:hAnsiTheme="minorHAnsi"/>
        </w:rPr>
        <w:t xml:space="preserve">, and a relatively low diversity of partner choice for most individuals </w:t>
      </w:r>
      <w:r>
        <w:rPr>
          <w:rFonts w:asciiTheme="minorHAnsi" w:hAnsiTheme="minorHAnsi"/>
        </w:rPr>
        <w:fldChar w:fldCharType="begin" w:fldLock="1"/>
      </w:r>
      <w:r w:rsidR="004A57E7">
        <w:rPr>
          <w:rFonts w:asciiTheme="minorHAnsi" w:hAnsiTheme="minorHAnsi"/>
        </w:rPr>
        <w:instrText>ADDIN CSL_CITATION {"citationItems":[{"id":"ITEM-1","itemData":{"DOI":"10.1002/evan.21367","ISBN":"1060-1538, 1060-1538","ISSN":"10601538","PMID":"24166922","abstract":"Behavioral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 © 2013 Wiley Periodicals, Inc.","author":[{"dropping-particle":"","family":"Silk","given":"Joan B.","non-dropping-particle":"","parse-names":false,"suffix":""},{"dropping-particle":"","family":"Cheney","given":"Dorothy","non-dropping-particle":"","parse-names":false,"suffix":""},{"dropping-particle":"","family":"Seyfarth","given":"Robert","non-dropping-particle":"","parse-names":false,"suffix":""}],"container-title":"Evolutionary Anthropology","id":"ITEM-1","issue":"5","issued":{"date-parts":[["2013","9"]]},"page":"213-225","title":"A practical guide to the study of social relationships","type":"article-journal","volume":"22"},"uris":["http://www.mendeley.com/documents/?uuid=387b72e3-3e22-350a-8cbd-c31c6bb52cff"]},{"id":"ITEM-2","itemData":{"DOI":"10.1016/j.anbehav.2016.11.010","ISSN":"00033472","abstract":"Social bonds between group members affect individual fitness and wellbeing. While the impact of bond strength is well studied, the consequences of bond predictability and equitability are often overlooked. Similarly, whether bonds reflect short-term contingencies and/or long-term social strategies remains understudied. We investigated these questions in female crested macaques, Macaca nigra, which display a tolerant social style within a nepotistic hierarchical social structure. We analysed the structure of social bonds by testing whether similarity within dyads (in kinship, dominance and age) predicted the strength, predictability and equitability of bonds. We then tested the value of social bonds by analysing the effect of their characteristics on three fitness-related behaviours: coalitionary support, feeding-in-proximity and aggression. We found that the bond characteristics of females differed substantially from those of other species with comparable data: bonds were of average strength, of moderate endurance and relatively balanced. Stronger bonds were more equitable but less predictable than weaker bonds. Closely ranked females, but not kin or age peers, had stronger, more predictable and more equitable bonds than others. Coalitionary support was not related to any of the bond characteristics, feeding-in-proximity was positively associated with strength and predictability and aggression was positively linked to strength and negatively to equitability. These results highlight the complex picture of the benefits of social bonds in this species. They reflect the degrees of freedom tolerant macaque females can express in their social relationships within their stable social structure, a pattern that may not be given enough consideration in stable nepotistic hierarchical societies. Comparative research is necessary to establish whether these patterns are more general than previously thought or a specific feature of tolerant macaques. Investigating various characteristics of bonds together is paramount to appreciate the dynamics of social relationships and to better understand the social components of fitness.","author":[{"dropping-particle":"","family":"Duboscq","given":"Julie","non-dropping-particle":"","parse-names":false,"suffix":""},{"dropping-particle":"","family":"Neumann","given":"Christof","non-dropping-particle":"","parse-names":false,"suffix":""},{"dropping-particle":"","family":"Agil","given":"Muhammad","non-dropping-particle":"","parse-names":false,"suffix":""},{"dropping-particle":"","family":"Perwitasari-Farajallah","given":"Dyah","non-dropping-particle":"","parse-names":false,"suffix":""},{"dropping-particle":"","family":"Thierry","given":"Bernard","non-dropping-particle":"","parse-names":false,"suffix":""},{"dropping-particle":"","family":"Engelhardt","given":"Antje","non-dropping-particle":"","parse-names":false,"suffix":""}],"container-title":"Animal Behaviour","id":"ITEM-2","issued":{"date-parts":[["2017"]]},"page":"411-426","publisher":"Academic Press","title":"Degrees of freedom in social bonds of crested macaque females","type":"article-journal","volume":"123"},"uris":["http://www.mendeley.com/documents/?uuid=a2539002-fdb3-3cb5-8695-cc4e596997d9"]}],"mendeley":{"formattedCitation":"(Duboscq et al., 2017; Silk et al., 2013)","plainTextFormattedCitation":"(Duboscq et al., 2017; Silk et al., 2013)","previouslyFormattedCitation":"(Duboscq et al., 2017; Silk et al., 2013)"},"properties":{"noteIndex":0},"schema":"https://github.com/citation-style-language/schema/raw/master/csl-citation.json"}</w:instrText>
      </w:r>
      <w:r>
        <w:rPr>
          <w:rFonts w:asciiTheme="minorHAnsi" w:hAnsiTheme="minorHAnsi"/>
        </w:rPr>
        <w:fldChar w:fldCharType="separate"/>
      </w:r>
      <w:r w:rsidR="00B4481E" w:rsidRPr="00B4481E">
        <w:rPr>
          <w:rFonts w:asciiTheme="minorHAnsi" w:hAnsiTheme="minorHAnsi"/>
          <w:noProof/>
        </w:rPr>
        <w:t>(Duboscq et al., 2017; Silk et al., 2013)</w:t>
      </w:r>
      <w:r>
        <w:rPr>
          <w:rFonts w:asciiTheme="minorHAnsi" w:hAnsiTheme="minorHAnsi"/>
        </w:rPr>
        <w:fldChar w:fldCharType="end"/>
      </w:r>
      <w:r>
        <w:rPr>
          <w:rFonts w:asciiTheme="minorHAnsi" w:hAnsiTheme="minorHAnsi"/>
        </w:rPr>
        <w:t xml:space="preserve">, while both chimpanzee communities displayed rank changes throughout and all group members interacted with each other. </w:t>
      </w:r>
      <w:r w:rsidR="003B3718">
        <w:rPr>
          <w:rFonts w:asciiTheme="minorHAnsi" w:hAnsiTheme="minorHAnsi"/>
        </w:rPr>
        <w:t>Difference</w:t>
      </w:r>
      <w:ins w:id="27" w:author="anna" w:date="2020-05-17T12:27:00Z">
        <w:r w:rsidR="006E7093">
          <w:rPr>
            <w:rFonts w:asciiTheme="minorHAnsi" w:hAnsiTheme="minorHAnsi"/>
          </w:rPr>
          <w:t>s</w:t>
        </w:r>
      </w:ins>
      <w:r w:rsidR="003B3718">
        <w:rPr>
          <w:rFonts w:asciiTheme="minorHAnsi" w:hAnsiTheme="minorHAnsi"/>
        </w:rPr>
        <w:t xml:space="preserve"> in fission-fusion dynamics could be responsible for less consistent interaction patterns in the chimpanzees, as individuals have to show behavioural flexibility when they are constrained in their access to preferred partners, and interact with individuals based on availability </w:t>
      </w:r>
      <w:r w:rsidR="003B3718">
        <w:rPr>
          <w:rFonts w:asciiTheme="minorHAnsi" w:hAnsiTheme="minorHAnsi"/>
        </w:rPr>
        <w:fldChar w:fldCharType="begin" w:fldLock="1"/>
      </w:r>
      <w:r w:rsidR="003B3718">
        <w:rPr>
          <w:rFonts w:asciiTheme="minorHAnsi" w:hAnsiTheme="minorHAnsi"/>
        </w:rPr>
        <w:instrText>ADDIN CSL_CITATION {"citationItems":[{"id":"ITEM-1","itemData":{"DOI":"10.1016/j.cub.2008.08.020","ISBN":"0960-9822","ISSN":"09609822","PMID":"18804375","abstract":"The Machiavellian Intelligence or Social Brain Hypothesis explains the evolution of increased brain size as mainly driven by living in complex organized social systems [1-4] in which individuals represent \"moving targets\" who can adopt multiple strategies to respond to one another [5]. Frequently splitting and merging in subgroups of variable composition (fission-fusion or FF dynamics) has been proposed as one aspect of social complexity ([2, 6-9]; compare with [10]) that may be associated with an enhancement of cognitive skills like inhibition [11], which allows the suppression of prepotent but ineffective responses in a changing social environment [7]. We compared the performance of primates experiencing high levels of FF dynamics (chimpanzees, bonobos, orangutans, and spider monkeys) to that of species living in more cohesive groups (gorillas, capuchin monkeys, and long-tailed macaques) [12-13] on five inhibition tasks. Testing species differing in diet, phylogenetic relatedness, and levels of FF dynamics allowed us to contrast ecological, phylogenetic, and socioecological explanations for interspecific differences. Spider monkeys performed at levels comparable to chimpanzees, bonobos, and orangutans, and better than gorillas. A two-cluster analysis grouped all species with higher levels of FF dynamics together. These findings confirmed that enhanced inhibitory skills are positively associated with FF dynamics, more than to phylogenetic relations or feeding ecology. ?? 2008 Elsevier Ltd. All rights reserved.","author":[{"dropping-particle":"","family":"Amici","given":"Federica","non-dropping-particle":"","parse-names":false,"suffix":""},{"dropping-particle":"","family":"Aureli","given":"Filippo","non-dropping-particle":"","parse-names":false,"suffix":""},{"dropping-particle":"","family":"Call","given":"Josep","non-dropping-particle":"","parse-names":false,"suffix":""}],"container-title":"Current Biology","id":"ITEM-1","issue":"18","issued":{"date-parts":[["2008"]]},"page":"1415-1419","title":"Fission-fusion dynamics, behavioral flexibility, and inhibitory control in primates","type":"article-journal","volume":"18"},"uris":["http://www.mendeley.com/documents/?uuid=f3a3fc28-2a8c-4b3b-9888-c2c1192f1bff"]}],"mendeley":{"formattedCitation":"(Amici et al., 2008)","plainTextFormattedCitation":"(Amici et al., 2008)","previouslyFormattedCitation":"(Amici et al., 2008)"},"properties":{"noteIndex":0},"schema":"https://github.com/citation-style-language/schema/raw/master/csl-citation.json"}</w:instrText>
      </w:r>
      <w:r w:rsidR="003B3718">
        <w:rPr>
          <w:rFonts w:asciiTheme="minorHAnsi" w:hAnsiTheme="minorHAnsi"/>
        </w:rPr>
        <w:fldChar w:fldCharType="separate"/>
      </w:r>
      <w:r w:rsidR="003B3718">
        <w:rPr>
          <w:rFonts w:asciiTheme="minorHAnsi" w:hAnsiTheme="minorHAnsi"/>
          <w:noProof/>
        </w:rPr>
        <w:t>(Amici et al., 2008)</w:t>
      </w:r>
      <w:r w:rsidR="003B3718">
        <w:rPr>
          <w:rFonts w:asciiTheme="minorHAnsi" w:hAnsiTheme="minorHAnsi"/>
        </w:rPr>
        <w:fldChar w:fldCharType="end"/>
      </w:r>
      <w:r w:rsidR="003B3718">
        <w:rPr>
          <w:rFonts w:asciiTheme="minorHAnsi" w:hAnsiTheme="minorHAnsi"/>
        </w:rPr>
        <w:t xml:space="preserve">. </w:t>
      </w:r>
      <w:r>
        <w:rPr>
          <w:rFonts w:asciiTheme="minorHAnsi" w:hAnsiTheme="minorHAnsi"/>
        </w:rPr>
        <w:t>Spatial proximity was much less predictable than directed interactions, most likely because a certain level of tolerance in foraging and resting extends to most group members, adding random noise that is not present in directed interactions</w:t>
      </w:r>
      <w:r w:rsidR="009A6929">
        <w:rPr>
          <w:rFonts w:asciiTheme="minorHAnsi" w:hAnsiTheme="minorHAnsi"/>
        </w:rPr>
        <w:t>,</w:t>
      </w:r>
      <w:r w:rsidR="003B3718">
        <w:rPr>
          <w:rFonts w:asciiTheme="minorHAnsi" w:hAnsiTheme="minorHAnsi"/>
        </w:rPr>
        <w:t xml:space="preserve"> a pattern mirroring previous results on spatial association in the mangabey group (Mielke et al., 2020)</w:t>
      </w:r>
      <w:r>
        <w:rPr>
          <w:rFonts w:asciiTheme="minorHAnsi" w:hAnsiTheme="minorHAnsi"/>
        </w:rPr>
        <w:t xml:space="preserve">. Alternatively, factors </w:t>
      </w:r>
      <w:r>
        <w:rPr>
          <w:rFonts w:asciiTheme="minorHAnsi" w:hAnsiTheme="minorHAnsi"/>
        </w:rPr>
        <w:lastRenderedPageBreak/>
        <w:t xml:space="preserve">influencing proximity might be more variable than can be captured in aggregated measures. An individual that has to accurately predict future spatial proximity between individuals would therefore have to observe more </w:t>
      </w:r>
      <w:r w:rsidR="00B1339B">
        <w:rPr>
          <w:rFonts w:asciiTheme="minorHAnsi" w:hAnsiTheme="minorHAnsi"/>
        </w:rPr>
        <w:t>events</w:t>
      </w:r>
      <w:r>
        <w:rPr>
          <w:rFonts w:asciiTheme="minorHAnsi" w:hAnsiTheme="minorHAnsi"/>
        </w:rPr>
        <w:t xml:space="preserve"> than individuals predicting aggressive interactions. Just like rare interaction types, common but highly inconsistent interaction types could add noise to social relationship indices or when comparing network overlap.</w:t>
      </w:r>
      <w:r w:rsidR="0036699B">
        <w:rPr>
          <w:rFonts w:asciiTheme="minorHAnsi" w:hAnsiTheme="minorHAnsi"/>
        </w:rPr>
        <w:t xml:space="preserve"> </w:t>
      </w:r>
    </w:p>
    <w:p w14:paraId="3C9A082E" w14:textId="77777777" w:rsidR="00CC4A8D" w:rsidRDefault="0036699B">
      <w:pPr>
        <w:spacing w:before="120" w:line="480" w:lineRule="auto"/>
        <w:ind w:leftChars="0" w:left="0" w:firstLineChars="0" w:firstLine="0"/>
        <w:jc w:val="both"/>
        <w:rPr>
          <w:rFonts w:asciiTheme="minorHAnsi" w:hAnsiTheme="minorHAnsi"/>
        </w:rPr>
      </w:pPr>
      <w:r>
        <w:rPr>
          <w:rFonts w:asciiTheme="minorHAnsi" w:hAnsiTheme="minorHAnsi"/>
        </w:rPr>
        <w:t xml:space="preserve">While many animal species are studied at great detail, and vast amounts of long-term data are available, it is surprisingly difficult to convey the structure of social interactions across sites and species. </w:t>
      </w:r>
      <w:r w:rsidR="00F41459">
        <w:rPr>
          <w:rFonts w:asciiTheme="minorHAnsi" w:hAnsiTheme="minorHAnsi"/>
        </w:rPr>
        <w:t xml:space="preserve">Our consistency measure can 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like similar efforts for hierarchies </w:t>
      </w:r>
      <w:r w:rsidR="00F41459">
        <w:rPr>
          <w:rFonts w:asciiTheme="minorHAnsi" w:hAnsiTheme="minorHAnsi"/>
        </w:rPr>
        <w:fldChar w:fldCharType="begin" w:fldLock="1"/>
      </w:r>
      <w:r w:rsidR="00D10DAE">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Pr>
          <w:rFonts w:asciiTheme="minorHAnsi" w:hAnsiTheme="minorHAnsi"/>
        </w:rPr>
        <w:fldChar w:fldCharType="separate"/>
      </w:r>
      <w:r w:rsidR="00F41459" w:rsidRPr="00F41459">
        <w:rPr>
          <w:rFonts w:asciiTheme="minorHAnsi" w:hAnsiTheme="minorHAnsi"/>
          <w:noProof/>
        </w:rPr>
        <w:t>(Sánchez-Tójar et al., 2018)</w:t>
      </w:r>
      <w:r w:rsidR="00F41459">
        <w:rPr>
          <w:rFonts w:asciiTheme="minorHAnsi" w:hAnsiTheme="minorHAnsi"/>
        </w:rPr>
        <w:fldChar w:fldCharType="end"/>
      </w:r>
      <w:r w:rsidR="00F41459">
        <w:rPr>
          <w:rFonts w:asciiTheme="minorHAnsi" w:hAnsiTheme="minorHAnsi"/>
        </w:rPr>
        <w:t>, can be a useful tool to make these decisions while conveying important information about the study species.</w:t>
      </w:r>
      <w:r w:rsidR="00B244F2">
        <w:rPr>
          <w:rFonts w:asciiTheme="minorHAnsi" w:hAnsiTheme="minorHAnsi"/>
        </w:rPr>
        <w:br w:type="page"/>
      </w:r>
    </w:p>
    <w:p w14:paraId="23BC2802" w14:textId="309EE6DA" w:rsidR="00CC4A8D" w:rsidRDefault="00B244F2">
      <w:pPr>
        <w:pStyle w:val="HTMLPreformatted"/>
        <w:spacing w:line="480" w:lineRule="auto"/>
        <w:rPr>
          <w:rFonts w:asciiTheme="minorHAnsi"/>
          <w:sz w:val="24"/>
          <w:szCs w:val="24"/>
        </w:rPr>
      </w:pPr>
      <w:r>
        <w:rPr>
          <w:rFonts w:asciiTheme="minorHAnsi" w:hAnsiTheme="minorHAnsi" w:cstheme="majorHAnsi"/>
          <w:b/>
          <w:bCs/>
          <w:sz w:val="24"/>
          <w:szCs w:val="24"/>
          <w:lang w:val="en-GB"/>
        </w:rPr>
        <w:lastRenderedPageBreak/>
        <w:t xml:space="preserve">Data Availability. </w:t>
      </w:r>
      <w:r>
        <w:rPr>
          <w:rFonts w:asciiTheme="minorHAnsi" w:hAnsiTheme="minorHAnsi" w:cstheme="majorHAnsi"/>
          <w:sz w:val="24"/>
          <w:szCs w:val="24"/>
          <w:lang w:val="en-GB"/>
        </w:rPr>
        <w:t xml:space="preserve">Data and R scripts for the consistency analysis are available: </w:t>
      </w:r>
      <w:r w:rsidR="007D050F">
        <w:rPr>
          <w:rFonts w:asciiTheme="minorHAnsi" w:hAnsiTheme="minorHAnsi" w:cstheme="majorHAnsi"/>
          <w:sz w:val="24"/>
          <w:szCs w:val="24"/>
          <w:lang w:val="en-GB"/>
        </w:rPr>
        <w:t>xxxxxx</w:t>
      </w:r>
    </w:p>
    <w:p w14:paraId="0457AAAC" w14:textId="77777777"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Competing Interests.</w:t>
      </w:r>
      <w:r>
        <w:rPr>
          <w:rFonts w:asciiTheme="minorHAnsi" w:hAnsiTheme="minorHAnsi" w:cstheme="majorHAnsi"/>
        </w:rPr>
        <w:t xml:space="preserve"> We have no competing interests</w:t>
      </w:r>
    </w:p>
    <w:p w14:paraId="323B4913" w14:textId="3C3A56A3"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Funding.</w:t>
      </w:r>
      <w:r>
        <w:rPr>
          <w:rFonts w:asciiTheme="minorHAnsi" w:hAnsiTheme="minorHAnsi" w:cstheme="majorHAnsi"/>
        </w:rPr>
        <w:t xml:space="preserve"> AM, AP, LS, CC, RMW were supported by the Max Planck Society; AM was supported by the Wenner Gren Foundation (Grant Number 9095)</w:t>
      </w:r>
      <w:r w:rsidR="007D050F">
        <w:rPr>
          <w:rFonts w:asciiTheme="minorHAnsi" w:hAnsiTheme="minorHAnsi" w:cstheme="majorHAnsi"/>
        </w:rPr>
        <w:t xml:space="preserve"> and the British Academy Newton International Fellowship</w:t>
      </w:r>
      <w:r>
        <w:rPr>
          <w:rFonts w:asciiTheme="minorHAnsi" w:hAnsiTheme="minorHAnsi" w:cstheme="majorHAnsi"/>
        </w:rPr>
        <w:t xml:space="preserve">; AP was supported by the Leakey Foundation; LS was supported by the Minerva Foundation; JFG was supported by </w:t>
      </w:r>
      <w:r>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Pr>
          <w:rFonts w:asciiTheme="minorHAnsi" w:hAnsiTheme="minorHAnsi" w:cstheme="majorHAnsi"/>
        </w:rPr>
        <w:t>. C. C. was supported by the European Research Council (ERC) under the European Union's Horizon 2020 research and innovation programme (grant agreement no. 679787). RMW was supported by DFG Researcher Unit (FOR 2136) ‘Sociality and Health in Primates’ (WI 2637/3-1). Research at the Taï Chimpanzee Project has been funded by the Max Planck Society since 1997.</w:t>
      </w:r>
    </w:p>
    <w:p w14:paraId="276F2769"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iCs/>
        </w:rPr>
        <w:t xml:space="preserve">Research Ethics. </w:t>
      </w:r>
      <w:r>
        <w:rPr>
          <w:rFonts w:asciiTheme="minorHAnsi" w:hAnsiTheme="minorHAnsi" w:cstheme="majorHAnsi"/>
        </w:rPr>
        <w:t>This study was purely observational with no manipulation of animals. Methods were approved by the Ethikrat der Max-Planck-Gesellschaft (4.08.2014).</w:t>
      </w:r>
    </w:p>
    <w:p w14:paraId="6E47A1E3"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rPr>
        <w:t xml:space="preserve">Permission to carry out fieldwork. </w:t>
      </w:r>
      <w:r>
        <w:rPr>
          <w:rFonts w:asciiTheme="minorHAnsi" w:hAnsiTheme="minorHAnsi" w:cstheme="majorHAnsi"/>
        </w:rPr>
        <w:t>Permissions to conduct the research were granted by the Ministries of Research and Environment of Ivory Coast (379/MESRS/GGRSIT/tm) and Office Ivorien des Parcs et Reserves.</w:t>
      </w:r>
    </w:p>
    <w:p w14:paraId="4D1A6AE3" w14:textId="33B70A0E" w:rsidR="00CC4A8D" w:rsidRDefault="00B244F2">
      <w:pPr>
        <w:spacing w:line="480" w:lineRule="auto"/>
        <w:ind w:left="0" w:hanging="2"/>
      </w:pPr>
      <w:r>
        <w:rPr>
          <w:rFonts w:asciiTheme="minorHAnsi" w:hAnsiTheme="minorHAnsi" w:cstheme="majorHAnsi"/>
          <w:b/>
          <w:bCs/>
        </w:rPr>
        <w:t xml:space="preserve">Acknowledgements. </w:t>
      </w:r>
      <w:r>
        <w:rPr>
          <w:rFonts w:asciiTheme="minorHAnsi" w:hAnsiTheme="minorHAnsi" w:cstheme="majorHAnsi"/>
          <w:bCs/>
        </w:rPr>
        <w:t xml:space="preserve">We thank the Ivorian Ministry of Environment and Forests and Ministry of Higher Education and Scientific Research and the Office Ivoirien des Parcs et Reserves of Côte </w:t>
      </w:r>
      <w:r>
        <w:rPr>
          <w:rFonts w:asciiTheme="minorHAnsi" w:hAnsiTheme="minorHAnsi" w:cstheme="majorHAnsi"/>
          <w:bCs/>
        </w:rPr>
        <w:lastRenderedPageBreak/>
        <w:t>d’Ivoire.</w:t>
      </w:r>
      <w:r>
        <w:rPr>
          <w:rFonts w:asciiTheme="minorHAnsi" w:hAnsiTheme="minorHAnsi" w:cstheme="majorHAnsi"/>
        </w:rPr>
        <w:t xml:space="preserve"> We thank Simon Kannieu, Daniel Bouin, Gnimion Florent, Fabrice Blé, Florent Goulei and the team of the TCP for field work support and data collection. </w:t>
      </w:r>
    </w:p>
    <w:p w14:paraId="09837630"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br w:type="page"/>
      </w:r>
    </w:p>
    <w:p w14:paraId="1359BC3F" w14:textId="77777777" w:rsidR="00CC4A8D" w:rsidRPr="00826E7E"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826E7E">
        <w:rPr>
          <w:rFonts w:asciiTheme="minorHAnsi" w:eastAsia="Calibri" w:hAnsiTheme="minorHAnsi" w:cstheme="minorHAnsi"/>
          <w:b/>
          <w:sz w:val="22"/>
          <w:szCs w:val="22"/>
        </w:rPr>
        <w:lastRenderedPageBreak/>
        <w:t>References</w:t>
      </w:r>
    </w:p>
    <w:p w14:paraId="74978830" w14:textId="77777777" w:rsidR="00D10DAE" w:rsidRPr="00D10DAE" w:rsidRDefault="00B244F2" w:rsidP="00D10DAE">
      <w:pPr>
        <w:autoSpaceDE w:val="0"/>
        <w:autoSpaceDN w:val="0"/>
        <w:adjustRightInd w:val="0"/>
        <w:spacing w:before="120" w:line="360" w:lineRule="auto"/>
        <w:ind w:left="0" w:hanging="2"/>
        <w:rPr>
          <w:rFonts w:ascii="Calibri" w:hAnsi="Calibri" w:cs="Calibri"/>
          <w:noProof/>
          <w:sz w:val="22"/>
        </w:rPr>
      </w:pPr>
      <w:r w:rsidRPr="00826E7E">
        <w:rPr>
          <w:rFonts w:asciiTheme="minorHAnsi" w:hAnsiTheme="minorHAnsi" w:cstheme="minorHAnsi"/>
          <w:sz w:val="22"/>
          <w:szCs w:val="22"/>
        </w:rPr>
        <w:fldChar w:fldCharType="begin" w:fldLock="1"/>
      </w:r>
      <w:r w:rsidRPr="00826E7E">
        <w:rPr>
          <w:rFonts w:asciiTheme="minorHAnsi" w:hAnsiTheme="minorHAnsi" w:cstheme="minorHAnsi"/>
          <w:sz w:val="22"/>
          <w:szCs w:val="22"/>
        </w:rPr>
        <w:instrText xml:space="preserve">ADDIN Mendeley Bibliography CSL_BIBLIOGRAPHY </w:instrText>
      </w:r>
      <w:r w:rsidRPr="00826E7E">
        <w:rPr>
          <w:rFonts w:asciiTheme="minorHAnsi" w:hAnsiTheme="minorHAnsi" w:cstheme="minorHAnsi"/>
          <w:sz w:val="22"/>
          <w:szCs w:val="22"/>
        </w:rPr>
        <w:fldChar w:fldCharType="separate"/>
      </w:r>
      <w:r w:rsidR="00D10DAE" w:rsidRPr="00D10DAE">
        <w:rPr>
          <w:rFonts w:ascii="Calibri" w:hAnsi="Calibri" w:cs="Calibri"/>
          <w:noProof/>
          <w:sz w:val="22"/>
        </w:rPr>
        <w:t xml:space="preserve">Altmann, J. (1974). Observational study of behavior: Sampling methods. </w:t>
      </w:r>
      <w:r w:rsidR="00D10DAE" w:rsidRPr="00D10DAE">
        <w:rPr>
          <w:rFonts w:ascii="Calibri" w:hAnsi="Calibri" w:cs="Calibri"/>
          <w:i/>
          <w:iCs/>
          <w:noProof/>
          <w:sz w:val="22"/>
        </w:rPr>
        <w:t>Behaviour</w:t>
      </w:r>
      <w:r w:rsidR="00D10DAE" w:rsidRPr="00D10DAE">
        <w:rPr>
          <w:rFonts w:ascii="Calibri" w:hAnsi="Calibri" w:cs="Calibri"/>
          <w:noProof/>
          <w:sz w:val="22"/>
        </w:rPr>
        <w:t xml:space="preserve">, </w:t>
      </w:r>
      <w:r w:rsidR="00D10DAE" w:rsidRPr="00D10DAE">
        <w:rPr>
          <w:rFonts w:ascii="Calibri" w:hAnsi="Calibri" w:cs="Calibri"/>
          <w:i/>
          <w:iCs/>
          <w:noProof/>
          <w:sz w:val="22"/>
        </w:rPr>
        <w:t>49</w:t>
      </w:r>
      <w:r w:rsidR="00D10DAE" w:rsidRPr="00D10DAE">
        <w:rPr>
          <w:rFonts w:ascii="Calibri" w:hAnsi="Calibri" w:cs="Calibri"/>
          <w:noProof/>
          <w:sz w:val="22"/>
        </w:rPr>
        <w:t>(3), 227–266. https://doi.org/10.1080/14794802.2011.585831</w:t>
      </w:r>
    </w:p>
    <w:p w14:paraId="7450885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Amici, F., Aureli, F., &amp; Call, J. (2008). Fission-fusion dynamics, behavioral flexibility, and inhibitory control in primates. </w:t>
      </w:r>
      <w:r w:rsidRPr="00D10DAE">
        <w:rPr>
          <w:rFonts w:ascii="Calibri" w:hAnsi="Calibri" w:cs="Calibri"/>
          <w:i/>
          <w:iCs/>
          <w:noProof/>
          <w:sz w:val="22"/>
        </w:rPr>
        <w:t>Current Biology</w:t>
      </w:r>
      <w:r w:rsidRPr="00D10DAE">
        <w:rPr>
          <w:rFonts w:ascii="Calibri" w:hAnsi="Calibri" w:cs="Calibri"/>
          <w:noProof/>
          <w:sz w:val="22"/>
        </w:rPr>
        <w:t xml:space="preserve">, </w:t>
      </w:r>
      <w:r w:rsidRPr="00D10DAE">
        <w:rPr>
          <w:rFonts w:ascii="Calibri" w:hAnsi="Calibri" w:cs="Calibri"/>
          <w:i/>
          <w:iCs/>
          <w:noProof/>
          <w:sz w:val="22"/>
        </w:rPr>
        <w:t>18</w:t>
      </w:r>
      <w:r w:rsidRPr="00D10DAE">
        <w:rPr>
          <w:rFonts w:ascii="Calibri" w:hAnsi="Calibri" w:cs="Calibri"/>
          <w:noProof/>
          <w:sz w:val="22"/>
        </w:rPr>
        <w:t>(18), 1415–1419. https://doi.org/10.1016/j.cub.2008.08.020</w:t>
      </w:r>
    </w:p>
    <w:p w14:paraId="508AF82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Aureli, F., &amp; Schino, G. (2019). Social complexity from within: how individuals experience the structure and organization of their groups. In </w:t>
      </w:r>
      <w:r w:rsidRPr="00D10DAE">
        <w:rPr>
          <w:rFonts w:ascii="Calibri" w:hAnsi="Calibri" w:cs="Calibri"/>
          <w:i/>
          <w:iCs/>
          <w:noProof/>
          <w:sz w:val="22"/>
        </w:rPr>
        <w:t>Behavioral Ecology and Sociobiology</w:t>
      </w:r>
      <w:r w:rsidRPr="00D10DAE">
        <w:rPr>
          <w:rFonts w:ascii="Calibri" w:hAnsi="Calibri" w:cs="Calibri"/>
          <w:noProof/>
          <w:sz w:val="22"/>
        </w:rPr>
        <w:t xml:space="preserve"> (Vol. 73, Issue 1, pp. 1–13). Springer Verlag. https://doi.org/10.1007/s00265-018-2604-5</w:t>
      </w:r>
    </w:p>
    <w:p w14:paraId="7E5DB5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Barrett, L., Gaynor, D., &amp; Henzi, S. P. P. (2002). A dynamic interaction between aggression and grooming reciprocity among female chacma baboons.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63</w:t>
      </w:r>
      <w:r w:rsidRPr="00D10DAE">
        <w:rPr>
          <w:rFonts w:ascii="Calibri" w:hAnsi="Calibri" w:cs="Calibri"/>
          <w:noProof/>
          <w:sz w:val="22"/>
        </w:rPr>
        <w:t>(6), 1047–1053. https://doi.org/10.1006/anbe.2002.3008</w:t>
      </w:r>
    </w:p>
    <w:p w14:paraId="6C1ADCD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Boesch, C., &amp; Boesch-Achermann, H. (2000). </w:t>
      </w:r>
      <w:r w:rsidRPr="00D10DAE">
        <w:rPr>
          <w:rFonts w:ascii="Calibri" w:hAnsi="Calibri" w:cs="Calibri"/>
          <w:i/>
          <w:iCs/>
          <w:noProof/>
          <w:sz w:val="22"/>
        </w:rPr>
        <w:t>The chimpanzees of the Taï Forest: Behavioural ecology and evolution</w:t>
      </w:r>
      <w:r w:rsidRPr="00D10DAE">
        <w:rPr>
          <w:rFonts w:ascii="Calibri" w:hAnsi="Calibri" w:cs="Calibri"/>
          <w:noProof/>
          <w:sz w:val="22"/>
        </w:rPr>
        <w:t>. Oxford University Press.</w:t>
      </w:r>
    </w:p>
    <w:p w14:paraId="5D96CD6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Borgeaud, C., Sosa, S., Sueur, C., &amp; Bshary, R. (2017). The influence of demographic variation on social network stability in wild vervet monkeys.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134</w:t>
      </w:r>
      <w:r w:rsidRPr="00D10DAE">
        <w:rPr>
          <w:rFonts w:ascii="Calibri" w:hAnsi="Calibri" w:cs="Calibri"/>
          <w:noProof/>
          <w:sz w:val="22"/>
        </w:rPr>
        <w:t>, 155–165. https://doi.org/10.1016/j.anbehav.2017.09.028</w:t>
      </w:r>
    </w:p>
    <w:p w14:paraId="7D52527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Byrne, R. W., &amp; Whiten, A. (1989). </w:t>
      </w:r>
      <w:r w:rsidRPr="00D10DAE">
        <w:rPr>
          <w:rFonts w:ascii="Calibri" w:hAnsi="Calibri" w:cs="Calibri"/>
          <w:i/>
          <w:iCs/>
          <w:noProof/>
          <w:sz w:val="22"/>
        </w:rPr>
        <w:t>Machiavellian intelligence: social expertise and the evolution of intellect in monkeys, apes, and humans</w:t>
      </w:r>
      <w:r w:rsidRPr="00D10DAE">
        <w:rPr>
          <w:rFonts w:ascii="Calibri" w:hAnsi="Calibri" w:cs="Calibri"/>
          <w:noProof/>
          <w:sz w:val="22"/>
        </w:rPr>
        <w:t>. Oxford University Press. http://www.amazon.com/exec/obidos/redirect?tag=citeulike07-20&amp;path=ASIN/0198521758</w:t>
      </w:r>
    </w:p>
    <w:p w14:paraId="5A32709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Castles, M., Heinsohn, R., Marshall, H. H., Lee, A. E. G., Cowlishaw, G., &amp; Carter, A. J. (2014). Social networks created with different techniques are not comparable. In </w:t>
      </w:r>
      <w:r w:rsidRPr="00D10DAE">
        <w:rPr>
          <w:rFonts w:ascii="Calibri" w:hAnsi="Calibri" w:cs="Calibri"/>
          <w:i/>
          <w:iCs/>
          <w:noProof/>
          <w:sz w:val="22"/>
        </w:rPr>
        <w:t>Animal Behaviour</w:t>
      </w:r>
      <w:r w:rsidRPr="00D10DAE">
        <w:rPr>
          <w:rFonts w:ascii="Calibri" w:hAnsi="Calibri" w:cs="Calibri"/>
          <w:noProof/>
          <w:sz w:val="22"/>
        </w:rPr>
        <w:t xml:space="preserve"> (Vol. 96, pp. 59–67). Academic Press. https://doi.org/10.1016/j.anbehav.2014.07.023</w:t>
      </w:r>
    </w:p>
    <w:p w14:paraId="5C16A7F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Davis, G. H., Crofoot, M. C., &amp; Farine, D. R. (2018). Estimating the robustness and uncertainty of animal social networks using different observational methods.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141</w:t>
      </w:r>
      <w:r w:rsidRPr="00D10DAE">
        <w:rPr>
          <w:rFonts w:ascii="Calibri" w:hAnsi="Calibri" w:cs="Calibri"/>
          <w:noProof/>
          <w:sz w:val="22"/>
        </w:rPr>
        <w:t>, 29–44. https://doi.org/10.1016/j.anbehav.2018.04.012</w:t>
      </w:r>
    </w:p>
    <w:p w14:paraId="6C36E81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Duboscq, J., Neumann, C., Agil, M., Perwitasari-Farajallah, D., Thierry, B., &amp; Engelhardt, A. (2017). Degrees of freedom in social bonds of crested macaque females.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123</w:t>
      </w:r>
      <w:r w:rsidRPr="00D10DAE">
        <w:rPr>
          <w:rFonts w:ascii="Calibri" w:hAnsi="Calibri" w:cs="Calibri"/>
          <w:noProof/>
          <w:sz w:val="22"/>
        </w:rPr>
        <w:t>, 411–426. https://doi.org/10.1016/j.anbehav.2016.11.010</w:t>
      </w:r>
    </w:p>
    <w:p w14:paraId="117315D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lastRenderedPageBreak/>
        <w:t xml:space="preserve">Dunbar, R. I. M. (1993). Coevolution of neocortical size, group size and language in humans. </w:t>
      </w:r>
      <w:r w:rsidRPr="00D10DAE">
        <w:rPr>
          <w:rFonts w:ascii="Calibri" w:hAnsi="Calibri" w:cs="Calibri"/>
          <w:i/>
          <w:iCs/>
          <w:noProof/>
          <w:sz w:val="22"/>
        </w:rPr>
        <w:t>Behavioral and Brain Sciences</w:t>
      </w:r>
      <w:r w:rsidRPr="00D10DAE">
        <w:rPr>
          <w:rFonts w:ascii="Calibri" w:hAnsi="Calibri" w:cs="Calibri"/>
          <w:noProof/>
          <w:sz w:val="22"/>
        </w:rPr>
        <w:t xml:space="preserve">, </w:t>
      </w:r>
      <w:r w:rsidRPr="00D10DAE">
        <w:rPr>
          <w:rFonts w:ascii="Calibri" w:hAnsi="Calibri" w:cs="Calibri"/>
          <w:i/>
          <w:iCs/>
          <w:noProof/>
          <w:sz w:val="22"/>
        </w:rPr>
        <w:t>16</w:t>
      </w:r>
      <w:r w:rsidRPr="00D10DAE">
        <w:rPr>
          <w:rFonts w:ascii="Calibri" w:hAnsi="Calibri" w:cs="Calibri"/>
          <w:noProof/>
          <w:sz w:val="22"/>
        </w:rPr>
        <w:t>(4), 681–694. https://doi.org/10.1017/S0140525X00032325</w:t>
      </w:r>
    </w:p>
    <w:p w14:paraId="0718F42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&amp; Shultz, S. (2010). Bondedness and sociality. In </w:t>
      </w:r>
      <w:r w:rsidRPr="00D10DAE">
        <w:rPr>
          <w:rFonts w:ascii="Calibri" w:hAnsi="Calibri" w:cs="Calibri"/>
          <w:i/>
          <w:iCs/>
          <w:noProof/>
          <w:sz w:val="22"/>
        </w:rPr>
        <w:t>Behaviour</w:t>
      </w:r>
      <w:r w:rsidRPr="00D10DAE">
        <w:rPr>
          <w:rFonts w:ascii="Calibri" w:hAnsi="Calibri" w:cs="Calibri"/>
          <w:noProof/>
          <w:sz w:val="22"/>
        </w:rPr>
        <w:t xml:space="preserve"> (Vol. 147, Issue 7, pp. 775–803). https://doi.org/10.1163/000579510X501151</w:t>
      </w:r>
    </w:p>
    <w:p w14:paraId="635C48D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Farine, D. R., &amp; Strandburg-Peshkin, A. (2015). Estimating uncertainty and reliability of social network data using Bayesian inference.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2</w:t>
      </w:r>
      <w:r w:rsidRPr="00D10DAE">
        <w:rPr>
          <w:rFonts w:ascii="Calibri" w:hAnsi="Calibri" w:cs="Calibri"/>
          <w:noProof/>
          <w:sz w:val="22"/>
        </w:rPr>
        <w:t>(9), 150367. https://doi.org/10.1098/rsos.150367</w:t>
      </w:r>
    </w:p>
    <w:p w14:paraId="6663994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Fedurek, P., &amp; Lehmann, J. (2017). The effect of excluding juveniles on apparent adult olive baboons (Papio anubis) social networks. </w:t>
      </w:r>
      <w:r w:rsidRPr="00D10DAE">
        <w:rPr>
          <w:rFonts w:ascii="Calibri" w:hAnsi="Calibri" w:cs="Calibri"/>
          <w:i/>
          <w:iCs/>
          <w:noProof/>
          <w:sz w:val="22"/>
        </w:rPr>
        <w:t>PLoS ONE</w:t>
      </w:r>
      <w:r w:rsidRPr="00D10DAE">
        <w:rPr>
          <w:rFonts w:ascii="Calibri" w:hAnsi="Calibri" w:cs="Calibri"/>
          <w:noProof/>
          <w:sz w:val="22"/>
        </w:rPr>
        <w:t xml:space="preserve">, </w:t>
      </w:r>
      <w:r w:rsidRPr="00D10DAE">
        <w:rPr>
          <w:rFonts w:ascii="Calibri" w:hAnsi="Calibri" w:cs="Calibri"/>
          <w:i/>
          <w:iCs/>
          <w:noProof/>
          <w:sz w:val="22"/>
        </w:rPr>
        <w:t>12</w:t>
      </w:r>
      <w:r w:rsidRPr="00D10DAE">
        <w:rPr>
          <w:rFonts w:ascii="Calibri" w:hAnsi="Calibri" w:cs="Calibri"/>
          <w:noProof/>
          <w:sz w:val="22"/>
        </w:rPr>
        <w:t>(3), e0173146. https://doi.org/10.1371/journal.pone.0173146</w:t>
      </w:r>
    </w:p>
    <w:p w14:paraId="15FB26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Flack, J. C. (2012). Multiple time-scales and the developmental dynamics of social systems. </w:t>
      </w:r>
      <w:r w:rsidRPr="00D10DAE">
        <w:rPr>
          <w:rFonts w:ascii="Calibri" w:hAnsi="Calibri" w:cs="Calibri"/>
          <w:i/>
          <w:iCs/>
          <w:noProof/>
          <w:sz w:val="22"/>
        </w:rPr>
        <w:t>Philosophical Transactions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367</w:t>
      </w:r>
      <w:r w:rsidRPr="00D10DAE">
        <w:rPr>
          <w:rFonts w:ascii="Calibri" w:hAnsi="Calibri" w:cs="Calibri"/>
          <w:noProof/>
          <w:sz w:val="22"/>
        </w:rPr>
        <w:t>(1597), 1802–1810. https://doi.org/10.1098/rstb.2011.0214</w:t>
      </w:r>
    </w:p>
    <w:p w14:paraId="5EF0DAC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105</w:t>
      </w:r>
      <w:r w:rsidRPr="00D10DAE">
        <w:rPr>
          <w:rFonts w:ascii="Calibri" w:hAnsi="Calibri" w:cs="Calibri"/>
          <w:noProof/>
          <w:sz w:val="22"/>
        </w:rPr>
        <w:t>, 139–152. https://doi.org/10.1016/j.anbehav.2015.04.012</w:t>
      </w:r>
    </w:p>
    <w:p w14:paraId="5906EF3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Guillermo Paz-Y-Miño, C., Bond, A. B., Kamil, A. C., &amp; Balda, R. P. (2004). Pinyon jays use transitive inference to predict social dominance. </w:t>
      </w:r>
      <w:r w:rsidRPr="00D10DAE">
        <w:rPr>
          <w:rFonts w:ascii="Calibri" w:hAnsi="Calibri" w:cs="Calibri"/>
          <w:i/>
          <w:iCs/>
          <w:noProof/>
          <w:sz w:val="22"/>
        </w:rPr>
        <w:t>Nature</w:t>
      </w:r>
      <w:r w:rsidRPr="00D10DAE">
        <w:rPr>
          <w:rFonts w:ascii="Calibri" w:hAnsi="Calibri" w:cs="Calibri"/>
          <w:noProof/>
          <w:sz w:val="22"/>
        </w:rPr>
        <w:t xml:space="preserve">, </w:t>
      </w:r>
      <w:r w:rsidRPr="00D10DAE">
        <w:rPr>
          <w:rFonts w:ascii="Calibri" w:hAnsi="Calibri" w:cs="Calibri"/>
          <w:i/>
          <w:iCs/>
          <w:noProof/>
          <w:sz w:val="22"/>
        </w:rPr>
        <w:t>430</w:t>
      </w:r>
      <w:r w:rsidRPr="00D10DAE">
        <w:rPr>
          <w:rFonts w:ascii="Calibri" w:hAnsi="Calibri" w:cs="Calibri"/>
          <w:noProof/>
          <w:sz w:val="22"/>
        </w:rPr>
        <w:t>(7001), 778–781. https://doi.org/10.1038/nature02723</w:t>
      </w:r>
    </w:p>
    <w:p w14:paraId="7A1518A1"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Humphrey, N. K. (1976). </w:t>
      </w:r>
      <w:r w:rsidRPr="00D10DAE">
        <w:rPr>
          <w:rFonts w:ascii="Calibri" w:hAnsi="Calibri" w:cs="Calibri"/>
          <w:i/>
          <w:iCs/>
          <w:noProof/>
          <w:sz w:val="22"/>
        </w:rPr>
        <w:t>The Social Function of Intellect</w:t>
      </w:r>
      <w:r w:rsidRPr="00D10DAE">
        <w:rPr>
          <w:rFonts w:ascii="Calibri" w:hAnsi="Calibri" w:cs="Calibri"/>
          <w:noProof/>
          <w:sz w:val="22"/>
        </w:rPr>
        <w:t>. https://doi.org/10.2307/375925</w:t>
      </w:r>
    </w:p>
    <w:p w14:paraId="165EC30A" w14:textId="77777777" w:rsidR="00D10DAE" w:rsidRPr="002A3884" w:rsidRDefault="00D10DAE" w:rsidP="00D10DAE">
      <w:pPr>
        <w:autoSpaceDE w:val="0"/>
        <w:autoSpaceDN w:val="0"/>
        <w:adjustRightInd w:val="0"/>
        <w:spacing w:before="120" w:line="360" w:lineRule="auto"/>
        <w:ind w:left="0" w:hanging="2"/>
        <w:rPr>
          <w:rFonts w:ascii="Calibri" w:hAnsi="Calibri" w:cs="Calibri"/>
          <w:noProof/>
          <w:sz w:val="22"/>
          <w:lang w:val="de-DE"/>
        </w:rPr>
      </w:pPr>
      <w:r w:rsidRPr="00D10DAE">
        <w:rPr>
          <w:rFonts w:ascii="Calibri" w:hAnsi="Calibri" w:cs="Calibri"/>
          <w:noProof/>
          <w:sz w:val="22"/>
        </w:rPr>
        <w:t xml:space="preserve">Jolly, A. (1966). Lemur social behavior and primate intelligence. </w:t>
      </w:r>
      <w:r w:rsidRPr="002A3884">
        <w:rPr>
          <w:rFonts w:ascii="Calibri" w:hAnsi="Calibri" w:cs="Calibri"/>
          <w:i/>
          <w:iCs/>
          <w:noProof/>
          <w:sz w:val="22"/>
          <w:lang w:val="de-DE"/>
        </w:rPr>
        <w:t>Science</w:t>
      </w:r>
      <w:r w:rsidRPr="002A3884">
        <w:rPr>
          <w:rFonts w:ascii="Calibri" w:hAnsi="Calibri" w:cs="Calibri"/>
          <w:noProof/>
          <w:sz w:val="22"/>
          <w:lang w:val="de-DE"/>
        </w:rPr>
        <w:t xml:space="preserve">, </w:t>
      </w:r>
      <w:r w:rsidRPr="002A3884">
        <w:rPr>
          <w:rFonts w:ascii="Calibri" w:hAnsi="Calibri" w:cs="Calibri"/>
          <w:i/>
          <w:iCs/>
          <w:noProof/>
          <w:sz w:val="22"/>
          <w:lang w:val="de-DE"/>
        </w:rPr>
        <w:t>153</w:t>
      </w:r>
      <w:r w:rsidRPr="002A3884">
        <w:rPr>
          <w:rFonts w:ascii="Calibri" w:hAnsi="Calibri" w:cs="Calibri"/>
          <w:noProof/>
          <w:sz w:val="22"/>
          <w:lang w:val="de-DE"/>
        </w:rPr>
        <w:t>(3735), 501–506. https://doi.org/10.1126/science.153.3735.501</w:t>
      </w:r>
    </w:p>
    <w:p w14:paraId="4C6D157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2A3884">
        <w:rPr>
          <w:rFonts w:ascii="Calibri" w:hAnsi="Calibri" w:cs="Calibri"/>
          <w:noProof/>
          <w:sz w:val="22"/>
          <w:lang w:val="de-DE"/>
        </w:rPr>
        <w:t xml:space="preserve">Kalbitz, J., Ostner, J., &amp; Schülke, O. (2016). </w:t>
      </w:r>
      <w:r w:rsidRPr="00D10DAE">
        <w:rPr>
          <w:rFonts w:ascii="Calibri" w:hAnsi="Calibri" w:cs="Calibri"/>
          <w:noProof/>
          <w:sz w:val="22"/>
        </w:rPr>
        <w:t xml:space="preserve">Strong, equitable and long-term social bonds in the dispersing sex in Assamese macaques.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113</w:t>
      </w:r>
      <w:r w:rsidRPr="00D10DAE">
        <w:rPr>
          <w:rFonts w:ascii="Calibri" w:hAnsi="Calibri" w:cs="Calibri"/>
          <w:noProof/>
          <w:sz w:val="22"/>
        </w:rPr>
        <w:t>, 13–22. https://doi.org/10.1016/j.anbehav.2015.11.005</w:t>
      </w:r>
    </w:p>
    <w:p w14:paraId="0FDE9230" w14:textId="77777777" w:rsidR="00D10DAE" w:rsidRPr="002A3884" w:rsidRDefault="00D10DAE" w:rsidP="00D10DAE">
      <w:pPr>
        <w:autoSpaceDE w:val="0"/>
        <w:autoSpaceDN w:val="0"/>
        <w:adjustRightInd w:val="0"/>
        <w:spacing w:before="120" w:line="360" w:lineRule="auto"/>
        <w:ind w:left="0" w:hanging="2"/>
        <w:rPr>
          <w:rFonts w:ascii="Calibri" w:hAnsi="Calibri" w:cs="Calibri"/>
          <w:noProof/>
          <w:sz w:val="22"/>
          <w:lang w:val="fr-FR"/>
        </w:rPr>
      </w:pPr>
      <w:r w:rsidRPr="00D10DAE">
        <w:rPr>
          <w:rFonts w:ascii="Calibri" w:hAnsi="Calibri" w:cs="Calibri"/>
          <w:noProof/>
          <w:sz w:val="22"/>
        </w:rPr>
        <w:t xml:space="preserve">Kasper, C., &amp; Voelkl, B. (2009). A social network analysis of primate groups. </w:t>
      </w:r>
      <w:r w:rsidRPr="002A3884">
        <w:rPr>
          <w:rFonts w:ascii="Calibri" w:hAnsi="Calibri" w:cs="Calibri"/>
          <w:i/>
          <w:iCs/>
          <w:noProof/>
          <w:sz w:val="22"/>
          <w:lang w:val="fr-FR"/>
        </w:rPr>
        <w:t>Primates</w:t>
      </w:r>
      <w:r w:rsidRPr="002A3884">
        <w:rPr>
          <w:rFonts w:ascii="Calibri" w:hAnsi="Calibri" w:cs="Calibri"/>
          <w:noProof/>
          <w:sz w:val="22"/>
          <w:lang w:val="fr-FR"/>
        </w:rPr>
        <w:t xml:space="preserve">, </w:t>
      </w:r>
      <w:r w:rsidRPr="002A3884">
        <w:rPr>
          <w:rFonts w:ascii="Calibri" w:hAnsi="Calibri" w:cs="Calibri"/>
          <w:i/>
          <w:iCs/>
          <w:noProof/>
          <w:sz w:val="22"/>
          <w:lang w:val="fr-FR"/>
        </w:rPr>
        <w:t>50</w:t>
      </w:r>
      <w:r w:rsidRPr="002A3884">
        <w:rPr>
          <w:rFonts w:ascii="Calibri" w:hAnsi="Calibri" w:cs="Calibri"/>
          <w:noProof/>
          <w:sz w:val="22"/>
          <w:lang w:val="fr-FR"/>
        </w:rPr>
        <w:t>(4), 343–356. https://doi.org/10.1007/s10329-009-0153-2</w:t>
      </w:r>
    </w:p>
    <w:p w14:paraId="689B083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2A3884">
        <w:rPr>
          <w:rFonts w:ascii="Calibri" w:hAnsi="Calibri" w:cs="Calibri"/>
          <w:noProof/>
          <w:sz w:val="22"/>
          <w:lang w:val="fr-FR"/>
        </w:rPr>
        <w:t xml:space="preserve">Koski, S. E., de Vries, H., van de Kraats, A., &amp; Sterck, E. H. M. (2012). </w:t>
      </w:r>
      <w:r w:rsidRPr="00D10DAE">
        <w:rPr>
          <w:rFonts w:ascii="Calibri" w:hAnsi="Calibri" w:cs="Calibri"/>
          <w:noProof/>
          <w:sz w:val="22"/>
        </w:rPr>
        <w:t xml:space="preserve">Stability and Change of Social </w:t>
      </w:r>
      <w:r w:rsidRPr="00D10DAE">
        <w:rPr>
          <w:rFonts w:ascii="Calibri" w:hAnsi="Calibri" w:cs="Calibri"/>
          <w:noProof/>
          <w:sz w:val="22"/>
        </w:rPr>
        <w:lastRenderedPageBreak/>
        <w:t xml:space="preserve">Relationship Quality in Captive Chimpanzees (Pan troglodytes). </w:t>
      </w:r>
      <w:r w:rsidRPr="00D10DAE">
        <w:rPr>
          <w:rFonts w:ascii="Calibri" w:hAnsi="Calibri" w:cs="Calibri"/>
          <w:i/>
          <w:iCs/>
          <w:noProof/>
          <w:sz w:val="22"/>
        </w:rPr>
        <w:t>International Journal of Primatology</w:t>
      </w:r>
      <w:r w:rsidRPr="00D10DAE">
        <w:rPr>
          <w:rFonts w:ascii="Calibri" w:hAnsi="Calibri" w:cs="Calibri"/>
          <w:noProof/>
          <w:sz w:val="22"/>
        </w:rPr>
        <w:t xml:space="preserve">, </w:t>
      </w:r>
      <w:r w:rsidRPr="00D10DAE">
        <w:rPr>
          <w:rFonts w:ascii="Calibri" w:hAnsi="Calibri" w:cs="Calibri"/>
          <w:i/>
          <w:iCs/>
          <w:noProof/>
          <w:sz w:val="22"/>
        </w:rPr>
        <w:t>33</w:t>
      </w:r>
      <w:r w:rsidRPr="00D10DAE">
        <w:rPr>
          <w:rFonts w:ascii="Calibri" w:hAnsi="Calibri" w:cs="Calibri"/>
          <w:noProof/>
          <w:sz w:val="22"/>
        </w:rPr>
        <w:t>(4), 905–921. https://doi.org/10.1007/s10764-012-9623-2</w:t>
      </w:r>
    </w:p>
    <w:p w14:paraId="1E97EC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Lehmann, J., &amp; Boesch, C. (2009). Sociality of the dispersing sex: the nature of social bonds in West African female chimpanzees, Pan troglodytes.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(2), 377–387. https://doi.org/10.1016/j.anbehav.2008.09.038</w:t>
      </w:r>
    </w:p>
    <w:p w14:paraId="456AB3A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Lukas, D., &amp; Clutton-Brock, T. (2018). Social complexity and kinship in animal societies. </w:t>
      </w:r>
      <w:r w:rsidRPr="00D10DAE">
        <w:rPr>
          <w:rFonts w:ascii="Calibri" w:hAnsi="Calibri" w:cs="Calibri"/>
          <w:i/>
          <w:iCs/>
          <w:noProof/>
          <w:sz w:val="22"/>
        </w:rPr>
        <w:t>Ecology Letters</w:t>
      </w:r>
      <w:r w:rsidRPr="00D10DAE">
        <w:rPr>
          <w:rFonts w:ascii="Calibri" w:hAnsi="Calibri" w:cs="Calibri"/>
          <w:noProof/>
          <w:sz w:val="22"/>
        </w:rPr>
        <w:t xml:space="preserve">, </w:t>
      </w:r>
      <w:r w:rsidRPr="00D10DAE">
        <w:rPr>
          <w:rFonts w:ascii="Calibri" w:hAnsi="Calibri" w:cs="Calibri"/>
          <w:i/>
          <w:iCs/>
          <w:noProof/>
          <w:sz w:val="22"/>
        </w:rPr>
        <w:t>21</w:t>
      </w:r>
      <w:r w:rsidRPr="00D10DAE">
        <w:rPr>
          <w:rFonts w:ascii="Calibri" w:hAnsi="Calibri" w:cs="Calibri"/>
          <w:noProof/>
          <w:sz w:val="22"/>
        </w:rPr>
        <w:t>(8), 1129–1134. https://doi.org/10.1111/ele.13079</w:t>
      </w:r>
    </w:p>
    <w:p w14:paraId="297A9AB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Lusseau, D., Whitehead, H., &amp; Gero, S. (2008). Incorporating uncertainty into the study of animal social networks. In </w:t>
      </w:r>
      <w:r w:rsidRPr="00D10DAE">
        <w:rPr>
          <w:rFonts w:ascii="Calibri" w:hAnsi="Calibri" w:cs="Calibri"/>
          <w:i/>
          <w:iCs/>
          <w:noProof/>
          <w:sz w:val="22"/>
        </w:rPr>
        <w:t>Animal Behaviour</w:t>
      </w:r>
      <w:r w:rsidRPr="00D10DAE">
        <w:rPr>
          <w:rFonts w:ascii="Calibri" w:hAnsi="Calibri" w:cs="Calibri"/>
          <w:noProof/>
          <w:sz w:val="22"/>
        </w:rPr>
        <w:t xml:space="preserve"> (Vol. 75, Issue 5, pp. 1809–1815). Academic Press. https://doi.org/10.1016/j.anbehav.2007.10.029</w:t>
      </w:r>
    </w:p>
    <w:p w14:paraId="5F8DDC7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Crockford, C., &amp; Wittig, R. (2019). Rank changes in female chimpanzees in Taï National Park. In C. Boesch &amp; R. M. Wittig (Eds.), </w:t>
      </w:r>
      <w:r w:rsidRPr="00D10DAE">
        <w:rPr>
          <w:rFonts w:ascii="Calibri" w:hAnsi="Calibri" w:cs="Calibri"/>
          <w:i/>
          <w:iCs/>
          <w:noProof/>
          <w:sz w:val="22"/>
        </w:rPr>
        <w:t>The Chimpanzees of the Taï Forest</w:t>
      </w:r>
      <w:r w:rsidRPr="00D10DAE">
        <w:rPr>
          <w:rFonts w:ascii="Calibri" w:hAnsi="Calibri" w:cs="Calibri"/>
          <w:noProof/>
          <w:sz w:val="22"/>
        </w:rPr>
        <w:t xml:space="preserve"> (pp. 290–300). Cambridge University Press. https://doi.org/10.1017/9781108674218.019</w:t>
      </w:r>
    </w:p>
    <w:p w14:paraId="604F520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Preis, A., Samuni, L., Gogarten, J. F., Wittig, R. M., &amp; Crockford, C. (2018). Flexible decision-making in grooming partner choice in sooty mangabeys and chimpanzees.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5</w:t>
      </w:r>
      <w:r w:rsidRPr="00D10DAE">
        <w:rPr>
          <w:rFonts w:ascii="Calibri" w:hAnsi="Calibri" w:cs="Calibri"/>
          <w:noProof/>
          <w:sz w:val="22"/>
        </w:rPr>
        <w:t>(7), 172143. https://doi.org/10.1098/rsos.172143</w:t>
      </w:r>
    </w:p>
    <w:p w14:paraId="5E0A314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Samuni, L., Preis, A., Gogarten, J. F., Crockford, C., &amp; Wittig, R. M. (2017). Bystanders intervene to impede grooming in western chimpanzees and sooty mangabeys.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4</w:t>
      </w:r>
      <w:r w:rsidRPr="00D10DAE">
        <w:rPr>
          <w:rFonts w:ascii="Calibri" w:hAnsi="Calibri" w:cs="Calibri"/>
          <w:noProof/>
          <w:sz w:val="22"/>
        </w:rPr>
        <w:t>(11), 171296. https://doi.org/10.1098/rsos.171296</w:t>
      </w:r>
    </w:p>
    <w:p w14:paraId="48124C9C"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Mitani, J. C. (2009). Male chimpanzees form enduring and equitable social bonds.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(3), 633–640. https://doi.org/10.1016/j.anbehav.2008.11.021</w:t>
      </w:r>
    </w:p>
    <w:p w14:paraId="0111DD42"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D10DAE">
        <w:rPr>
          <w:rFonts w:ascii="Calibri" w:hAnsi="Calibri" w:cs="Calibri"/>
          <w:i/>
          <w:iCs/>
          <w:noProof/>
          <w:sz w:val="22"/>
        </w:rPr>
        <w:t>American Journal of Physical Anthropology</w:t>
      </w:r>
      <w:r w:rsidRPr="00D10DAE">
        <w:rPr>
          <w:rFonts w:ascii="Calibri" w:hAnsi="Calibri" w:cs="Calibri"/>
          <w:noProof/>
          <w:sz w:val="22"/>
        </w:rPr>
        <w:t xml:space="preserve">, </w:t>
      </w:r>
      <w:r w:rsidRPr="00D10DAE">
        <w:rPr>
          <w:rFonts w:ascii="Calibri" w:hAnsi="Calibri" w:cs="Calibri"/>
          <w:i/>
          <w:iCs/>
          <w:noProof/>
          <w:sz w:val="22"/>
        </w:rPr>
        <w:t>163</w:t>
      </w:r>
      <w:r w:rsidRPr="00D10DAE">
        <w:rPr>
          <w:rFonts w:ascii="Calibri" w:hAnsi="Calibri" w:cs="Calibri"/>
          <w:noProof/>
          <w:sz w:val="22"/>
        </w:rPr>
        <w:t>(1), 158–172. https://doi.org/10.1002/ajpa.23197</w:t>
      </w:r>
    </w:p>
    <w:p w14:paraId="2561E5A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Oliveira, R. F., McGregor, P. K., &amp; Latruffe, C. (1998). Know thine enemy: Fighting fish gather information from observing conspecific interactions.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265</w:t>
      </w:r>
      <w:r w:rsidRPr="00D10DAE">
        <w:rPr>
          <w:rFonts w:ascii="Calibri" w:hAnsi="Calibri" w:cs="Calibri"/>
          <w:noProof/>
          <w:sz w:val="22"/>
        </w:rPr>
        <w:t>(1401), 1045–1049. https://doi.org/10.1098/rspb.1998.0397</w:t>
      </w:r>
    </w:p>
    <w:p w14:paraId="37B2EAE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2A3884">
        <w:rPr>
          <w:rFonts w:ascii="Calibri" w:hAnsi="Calibri" w:cs="Calibri"/>
          <w:noProof/>
          <w:sz w:val="22"/>
          <w:lang w:val="de-DE"/>
        </w:rPr>
        <w:lastRenderedPageBreak/>
        <w:t xml:space="preserve">Preis, A., Samuni, L., Deschner, T., Crockford, C., &amp; Wittig, R. M. (2019). </w:t>
      </w:r>
      <w:r w:rsidRPr="00D10DAE">
        <w:rPr>
          <w:rFonts w:ascii="Calibri" w:hAnsi="Calibri" w:cs="Calibri"/>
          <w:noProof/>
          <w:sz w:val="22"/>
        </w:rPr>
        <w:t xml:space="preserve">Urinary cortisol, aggression, dominance and competition in wild, West African male chimpanzees. </w:t>
      </w:r>
      <w:r w:rsidRPr="00D10DAE">
        <w:rPr>
          <w:rFonts w:ascii="Calibri" w:hAnsi="Calibri" w:cs="Calibri"/>
          <w:i/>
          <w:iCs/>
          <w:noProof/>
          <w:sz w:val="22"/>
        </w:rPr>
        <w:t>Frontiers in Ecology and Evolution</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(APR). https://doi.org/10.3389/fevo.2019.00107</w:t>
      </w:r>
    </w:p>
    <w:p w14:paraId="65EA01E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2A3884">
        <w:rPr>
          <w:rFonts w:ascii="Calibri" w:hAnsi="Calibri" w:cs="Calibri"/>
          <w:noProof/>
          <w:sz w:val="22"/>
          <w:lang w:val="de-DE"/>
        </w:rPr>
        <w:t xml:space="preserve">Preis, A., Samuni, L., Mielke, A., Deschner, T., Crockford, C., &amp; Wittig, R. M. (2018). </w:t>
      </w:r>
      <w:r w:rsidRPr="00D10DAE">
        <w:rPr>
          <w:rFonts w:ascii="Calibri" w:hAnsi="Calibri" w:cs="Calibri"/>
          <w:noProof/>
          <w:sz w:val="22"/>
        </w:rPr>
        <w:t xml:space="preserve">Urinary oxytocin levels in relation to post-conflict affiliations in wild male chimpanzees (Pan troglodytes verus). </w:t>
      </w:r>
      <w:r w:rsidRPr="00D10DAE">
        <w:rPr>
          <w:rFonts w:ascii="Calibri" w:hAnsi="Calibri" w:cs="Calibri"/>
          <w:i/>
          <w:iCs/>
          <w:noProof/>
          <w:sz w:val="22"/>
        </w:rPr>
        <w:t>Hormones and Behavior</w:t>
      </w:r>
      <w:r w:rsidRPr="00D10DAE">
        <w:rPr>
          <w:rFonts w:ascii="Calibri" w:hAnsi="Calibri" w:cs="Calibri"/>
          <w:noProof/>
          <w:sz w:val="22"/>
        </w:rPr>
        <w:t>. https://doi.org/10.1016/j.yhbeh.2018.07.009</w:t>
      </w:r>
    </w:p>
    <w:p w14:paraId="5D5817F7"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(2006). Social behavior of free-ranging juvenile sooty mangabeys (Cercocebus torquatus atys).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59</w:t>
      </w:r>
      <w:r w:rsidRPr="00D10DAE">
        <w:rPr>
          <w:rFonts w:ascii="Calibri" w:hAnsi="Calibri" w:cs="Calibri"/>
          <w:noProof/>
          <w:sz w:val="22"/>
        </w:rPr>
        <w:t>(4), 511–520. https://doi.org/10.1007/s00265-005-0076-x</w:t>
      </w:r>
    </w:p>
    <w:p w14:paraId="179C542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&amp; Noë, R. (2002). Familiarity and dominance relations among female sooty mangabeys in the Taï National Park. </w:t>
      </w:r>
      <w:r w:rsidRPr="00D10DAE">
        <w:rPr>
          <w:rFonts w:ascii="Calibri" w:hAnsi="Calibri" w:cs="Calibri"/>
          <w:i/>
          <w:iCs/>
          <w:noProof/>
          <w:sz w:val="22"/>
        </w:rPr>
        <w:t>American Journal of Primatology</w:t>
      </w:r>
      <w:r w:rsidRPr="00D10DAE">
        <w:rPr>
          <w:rFonts w:ascii="Calibri" w:hAnsi="Calibri" w:cs="Calibri"/>
          <w:noProof/>
          <w:sz w:val="22"/>
        </w:rPr>
        <w:t xml:space="preserve">, </w:t>
      </w:r>
      <w:r w:rsidRPr="00D10DAE">
        <w:rPr>
          <w:rFonts w:ascii="Calibri" w:hAnsi="Calibri" w:cs="Calibri"/>
          <w:i/>
          <w:iCs/>
          <w:noProof/>
          <w:sz w:val="22"/>
        </w:rPr>
        <w:t>56</w:t>
      </w:r>
      <w:r w:rsidRPr="00D10DAE">
        <w:rPr>
          <w:rFonts w:ascii="Calibri" w:hAnsi="Calibri" w:cs="Calibri"/>
          <w:noProof/>
          <w:sz w:val="22"/>
        </w:rPr>
        <w:t>(3), 137–153. https://doi.org/10.1002/ajp.1070</w:t>
      </w:r>
    </w:p>
    <w:p w14:paraId="6354DB1E" w14:textId="77777777" w:rsidR="00D10DAE" w:rsidRPr="002A3884" w:rsidRDefault="00D10DAE" w:rsidP="00D10DAE">
      <w:pPr>
        <w:autoSpaceDE w:val="0"/>
        <w:autoSpaceDN w:val="0"/>
        <w:adjustRightInd w:val="0"/>
        <w:spacing w:before="120" w:line="360" w:lineRule="auto"/>
        <w:ind w:left="0" w:hanging="2"/>
        <w:rPr>
          <w:rFonts w:ascii="Calibri" w:hAnsi="Calibri" w:cs="Calibri"/>
          <w:noProof/>
          <w:sz w:val="22"/>
          <w:lang w:val="de-DE"/>
        </w:rPr>
      </w:pPr>
      <w:r w:rsidRPr="00D10DAE">
        <w:rPr>
          <w:rFonts w:ascii="Calibri" w:hAnsi="Calibri" w:cs="Calibri"/>
          <w:noProof/>
          <w:sz w:val="22"/>
        </w:rPr>
        <w:t xml:space="preserve">Sambrook, T., &amp; Whiten, A. (1997). On the Nature of Complexity in Cognitive and Behavioural Science. </w:t>
      </w:r>
      <w:r w:rsidRPr="002A3884">
        <w:rPr>
          <w:rFonts w:ascii="Calibri" w:hAnsi="Calibri" w:cs="Calibri"/>
          <w:i/>
          <w:iCs/>
          <w:noProof/>
          <w:sz w:val="22"/>
          <w:lang w:val="de-DE"/>
        </w:rPr>
        <w:t>Theory &amp; Psychology</w:t>
      </w:r>
      <w:r w:rsidRPr="002A3884">
        <w:rPr>
          <w:rFonts w:ascii="Calibri" w:hAnsi="Calibri" w:cs="Calibri"/>
          <w:noProof/>
          <w:sz w:val="22"/>
          <w:lang w:val="de-DE"/>
        </w:rPr>
        <w:t xml:space="preserve">, </w:t>
      </w:r>
      <w:r w:rsidRPr="002A3884">
        <w:rPr>
          <w:rFonts w:ascii="Calibri" w:hAnsi="Calibri" w:cs="Calibri"/>
          <w:i/>
          <w:iCs/>
          <w:noProof/>
          <w:sz w:val="22"/>
          <w:lang w:val="de-DE"/>
        </w:rPr>
        <w:t>7</w:t>
      </w:r>
      <w:r w:rsidRPr="002A3884">
        <w:rPr>
          <w:rFonts w:ascii="Calibri" w:hAnsi="Calibri" w:cs="Calibri"/>
          <w:noProof/>
          <w:sz w:val="22"/>
          <w:lang w:val="de-DE"/>
        </w:rPr>
        <w:t>(2), 191–213. https://doi.org/10.1177/0959354397072004</w:t>
      </w:r>
    </w:p>
    <w:p w14:paraId="4966F94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2A3884">
        <w:rPr>
          <w:rFonts w:ascii="Calibri" w:hAnsi="Calibri" w:cs="Calibri"/>
          <w:noProof/>
          <w:sz w:val="22"/>
          <w:lang w:val="de-DE"/>
        </w:rPr>
        <w:t xml:space="preserve">Samuni, L., Preis, A., Mielke, A., Deschner, T., Wittig, R. M., &amp; Crockford, C. (2018). </w:t>
      </w:r>
      <w:r w:rsidRPr="00D10DAE">
        <w:rPr>
          <w:rFonts w:ascii="Calibri" w:hAnsi="Calibri" w:cs="Calibri"/>
          <w:noProof/>
          <w:sz w:val="22"/>
        </w:rPr>
        <w:t xml:space="preserve">Social bonds facilitate cooperative resource sharing in wild chimpanzees.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285</w:t>
      </w:r>
      <w:r w:rsidRPr="00D10DAE">
        <w:rPr>
          <w:rFonts w:ascii="Calibri" w:hAnsi="Calibri" w:cs="Calibri"/>
          <w:noProof/>
          <w:sz w:val="22"/>
        </w:rPr>
        <w:t>(1888), 20181643. https://doi.org/10.1098/rspb.2018.1643</w:t>
      </w:r>
    </w:p>
    <w:p w14:paraId="0E75B11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2A3884">
        <w:rPr>
          <w:rFonts w:ascii="Calibri" w:hAnsi="Calibri" w:cs="Calibri"/>
          <w:noProof/>
          <w:sz w:val="22"/>
          <w:lang w:val="de-DE"/>
        </w:rPr>
        <w:t xml:space="preserve">Sánchez-Tójar, A., Schroeder, J., &amp; Farine, D. R. (2018). </w:t>
      </w:r>
      <w:r w:rsidRPr="00D10DAE">
        <w:rPr>
          <w:rFonts w:ascii="Calibri" w:hAnsi="Calibri" w:cs="Calibri"/>
          <w:noProof/>
          <w:sz w:val="22"/>
        </w:rPr>
        <w:t xml:space="preserve">A practical guide for inferring reliable dominance hierarchies and estimating their uncertainty. </w:t>
      </w:r>
      <w:r w:rsidRPr="00D10DAE">
        <w:rPr>
          <w:rFonts w:ascii="Calibri" w:hAnsi="Calibri" w:cs="Calibri"/>
          <w:i/>
          <w:iCs/>
          <w:noProof/>
          <w:sz w:val="22"/>
        </w:rPr>
        <w:t>Journal of Animal Ecology</w:t>
      </w:r>
      <w:r w:rsidRPr="00D10DAE">
        <w:rPr>
          <w:rFonts w:ascii="Calibri" w:hAnsi="Calibri" w:cs="Calibri"/>
          <w:noProof/>
          <w:sz w:val="22"/>
        </w:rPr>
        <w:t xml:space="preserve">, </w:t>
      </w:r>
      <w:r w:rsidRPr="00D10DAE">
        <w:rPr>
          <w:rFonts w:ascii="Calibri" w:hAnsi="Calibri" w:cs="Calibri"/>
          <w:i/>
          <w:iCs/>
          <w:noProof/>
          <w:sz w:val="22"/>
        </w:rPr>
        <w:t>87</w:t>
      </w:r>
      <w:r w:rsidRPr="00D10DAE">
        <w:rPr>
          <w:rFonts w:ascii="Calibri" w:hAnsi="Calibri" w:cs="Calibri"/>
          <w:noProof/>
          <w:sz w:val="22"/>
        </w:rPr>
        <w:t>(3), 594–608. https://doi.org/10.1111/1365-2656.12776</w:t>
      </w:r>
    </w:p>
    <w:p w14:paraId="5416D3A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Shizuka, D., &amp; Farine, D. R. (2016). Measuring the robustness of network community structure using assortativity.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112</w:t>
      </w:r>
      <w:r w:rsidRPr="00D10DAE">
        <w:rPr>
          <w:rFonts w:ascii="Calibri" w:hAnsi="Calibri" w:cs="Calibri"/>
          <w:noProof/>
          <w:sz w:val="22"/>
        </w:rPr>
        <w:t>, 237–246. https://doi.org/10.1016/j.anbehav.2015.12.007</w:t>
      </w:r>
    </w:p>
    <w:p w14:paraId="0AC3B9B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61</w:t>
      </w:r>
      <w:r w:rsidRPr="00D10DAE">
        <w:rPr>
          <w:rFonts w:ascii="Calibri" w:hAnsi="Calibri" w:cs="Calibri"/>
          <w:noProof/>
          <w:sz w:val="22"/>
        </w:rPr>
        <w:t>(2), 197–204. https://doi.org/10.1007/s00265-006-0250-9</w:t>
      </w:r>
    </w:p>
    <w:p w14:paraId="11B9675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Cheney, D., &amp; Seyfarth, R. (2013). A practical guide to the study of social relationships. </w:t>
      </w:r>
      <w:r w:rsidRPr="00D10DAE">
        <w:rPr>
          <w:rFonts w:ascii="Calibri" w:hAnsi="Calibri" w:cs="Calibri"/>
          <w:i/>
          <w:iCs/>
          <w:noProof/>
          <w:sz w:val="22"/>
        </w:rPr>
        <w:t>Evolutionary Anthropology</w:t>
      </w:r>
      <w:r w:rsidRPr="00D10DAE">
        <w:rPr>
          <w:rFonts w:ascii="Calibri" w:hAnsi="Calibri" w:cs="Calibri"/>
          <w:noProof/>
          <w:sz w:val="22"/>
        </w:rPr>
        <w:t xml:space="preserve">, </w:t>
      </w:r>
      <w:r w:rsidRPr="00D10DAE">
        <w:rPr>
          <w:rFonts w:ascii="Calibri" w:hAnsi="Calibri" w:cs="Calibri"/>
          <w:i/>
          <w:iCs/>
          <w:noProof/>
          <w:sz w:val="22"/>
        </w:rPr>
        <w:t>22</w:t>
      </w:r>
      <w:r w:rsidRPr="00D10DAE">
        <w:rPr>
          <w:rFonts w:ascii="Calibri" w:hAnsi="Calibri" w:cs="Calibri"/>
          <w:noProof/>
          <w:sz w:val="22"/>
        </w:rPr>
        <w:t>(5), 213–225. https://doi.org/10.1002/evan.21367</w:t>
      </w:r>
    </w:p>
    <w:p w14:paraId="10BE73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Whitehead, H. (2008). Precision and power in the analysis of social structure using associations.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75</w:t>
      </w:r>
      <w:r w:rsidRPr="00D10DAE">
        <w:rPr>
          <w:rFonts w:ascii="Calibri" w:hAnsi="Calibri" w:cs="Calibri"/>
          <w:noProof/>
          <w:sz w:val="22"/>
        </w:rPr>
        <w:t>(3), 1093–1099. https://doi.org/10.1016/j.anbehav.2007.08.022</w:t>
      </w:r>
    </w:p>
    <w:p w14:paraId="7551DDD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Whiten, A. (2000). Social complexity and social intelligence. In </w:t>
      </w:r>
      <w:r w:rsidRPr="00D10DAE">
        <w:rPr>
          <w:rFonts w:ascii="Calibri" w:hAnsi="Calibri" w:cs="Calibri"/>
          <w:i/>
          <w:iCs/>
          <w:noProof/>
          <w:sz w:val="22"/>
        </w:rPr>
        <w:t>The nature of intelligence</w:t>
      </w:r>
      <w:r w:rsidRPr="00D10DAE">
        <w:rPr>
          <w:rFonts w:ascii="Calibri" w:hAnsi="Calibri" w:cs="Calibri"/>
          <w:noProof/>
          <w:sz w:val="22"/>
        </w:rPr>
        <w:t xml:space="preserve"> (Vol. 233, pp. </w:t>
      </w:r>
      <w:r w:rsidRPr="00D10DAE">
        <w:rPr>
          <w:rFonts w:ascii="Calibri" w:hAnsi="Calibri" w:cs="Calibri"/>
          <w:noProof/>
          <w:sz w:val="22"/>
        </w:rPr>
        <w:lastRenderedPageBreak/>
        <w:t>185–196; discussion 196-201). Wiley. http://www.ncbi.nlm.nih.gov/pubmed/11276903</w:t>
      </w:r>
    </w:p>
    <w:p w14:paraId="60B892E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Wittig, R. M., &amp; Boesch, C. (2003). “Decision-making” in conflicts of wild chimpanzees (Pan troglodytes): An extension of the Relational Model.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54</w:t>
      </w:r>
      <w:r w:rsidRPr="00D10DAE">
        <w:rPr>
          <w:rFonts w:ascii="Calibri" w:hAnsi="Calibri" w:cs="Calibri"/>
          <w:noProof/>
          <w:sz w:val="22"/>
        </w:rPr>
        <w:t>(5), 491–504. https://doi.org/10.1007/s00265-003-0654-8</w:t>
      </w:r>
    </w:p>
    <w:p w14:paraId="23E90722" w14:textId="77777777" w:rsidR="00CC4A8D" w:rsidRPr="00192031"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826E7E">
        <w:rPr>
          <w:rFonts w:asciiTheme="minorHAnsi" w:hAnsiTheme="minorHAnsi" w:cstheme="minorHAnsi"/>
          <w:sz w:val="22"/>
          <w:szCs w:val="22"/>
        </w:rPr>
        <w:fldChar w:fldCharType="end"/>
      </w:r>
    </w:p>
    <w:sectPr w:rsidR="00CC4A8D" w:rsidRPr="00192031">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na" w:date="2020-05-16T20:25:00Z" w:initials="a">
    <w:p w14:paraId="7F81A77D" w14:textId="6E4C83FB" w:rsidR="008233F7" w:rsidRDefault="008233F7">
      <w:pPr>
        <w:pStyle w:val="CommentText"/>
        <w:ind w:left="0" w:hanging="2"/>
      </w:pPr>
      <w:r>
        <w:rPr>
          <w:rStyle w:val="CommentReference"/>
        </w:rPr>
        <w:annotationRef/>
      </w:r>
      <w:r>
        <w:t xml:space="preserve">What about </w:t>
      </w:r>
      <w:r w:rsidRPr="007D78B1">
        <w:t xml:space="preserve">a title, information about the author and co-authors and </w:t>
      </w:r>
      <w:r>
        <w:t>maybe an</w:t>
      </w:r>
      <w:r w:rsidRPr="007D78B1">
        <w:t xml:space="preserve"> abstract</w:t>
      </w:r>
      <w:r>
        <w:t>?</w:t>
      </w:r>
    </w:p>
  </w:comment>
  <w:comment w:id="7" w:author="anna" w:date="2020-05-16T20:36:00Z" w:initials="a">
    <w:p w14:paraId="5C6E1131" w14:textId="3ECB7459" w:rsidR="008233F7" w:rsidRDefault="008233F7">
      <w:pPr>
        <w:pStyle w:val="CommentText"/>
        <w:ind w:left="0" w:hanging="2"/>
      </w:pPr>
      <w:r>
        <w:rPr>
          <w:rStyle w:val="CommentReference"/>
        </w:rPr>
        <w:annotationRef/>
      </w:r>
      <w:r>
        <w:t>I think that last sentence of this paragraph is a bit unconnected to the problematic in the sentences above and does not prepare the reader for the next paragraph, where you just throw in the consistency measure and what purpose it has. Could you formulate this a bit more interesting and connect it better to the problematic you pointed out in the paragraph above?</w:t>
      </w:r>
    </w:p>
  </w:comment>
  <w:comment w:id="13" w:author="anna" w:date="2020-05-16T21:06:00Z" w:initials="a">
    <w:p w14:paraId="569A5975" w14:textId="723B8860" w:rsidR="008233F7" w:rsidRDefault="008233F7">
      <w:pPr>
        <w:pStyle w:val="CommentText"/>
        <w:ind w:left="0" w:hanging="2"/>
      </w:pPr>
      <w:r>
        <w:rPr>
          <w:rStyle w:val="CommentReference"/>
        </w:rPr>
        <w:annotationRef/>
      </w:r>
      <w:r w:rsidRPr="003601E1">
        <w:t>This seems to be just a bunch of unconnected sentences, what conclusions should the reader draw from them?</w:t>
      </w:r>
      <w:r>
        <w:t xml:space="preserve"> Couldn’t you just describe the “general” chimpanzee social system and then the rest </w:t>
      </w:r>
      <w:r w:rsidRPr="003601E1">
        <w:t>could perhaps be included</w:t>
      </w:r>
      <w:r>
        <w:t xml:space="preserve"> in the methods section? </w:t>
      </w:r>
      <w:r w:rsidRPr="003A04C5">
        <w:t>Otherwise you have to explain the section about the chimpanzee</w:t>
      </w:r>
      <w:r>
        <w:t>s</w:t>
      </w:r>
      <w:r w:rsidRPr="003A04C5">
        <w:t xml:space="preserve"> better, which in my opinion would be too detailed at this point.</w:t>
      </w:r>
    </w:p>
  </w:comment>
  <w:comment w:id="18" w:author="anna" w:date="2020-05-17T11:43:00Z" w:initials="a">
    <w:p w14:paraId="23697937" w14:textId="79C41F6A" w:rsidR="008233F7" w:rsidRPr="0022326F" w:rsidRDefault="008233F7" w:rsidP="0022326F">
      <w:pPr>
        <w:pStyle w:val="CommentText"/>
        <w:ind w:left="0" w:hanging="2"/>
        <w:rPr>
          <w:rFonts w:asciiTheme="minorHAnsi" w:eastAsia="Calibri" w:hAnsiTheme="minorHAnsi"/>
          <w:bCs/>
          <w:iCs/>
        </w:rPr>
      </w:pPr>
      <w:r>
        <w:rPr>
          <w:rStyle w:val="CommentReference"/>
        </w:rPr>
        <w:annotationRef/>
      </w:r>
      <w:r>
        <w:t>Nice graphs! However, if I have understood your methods part correctly, the y-ax</w:t>
      </w:r>
      <w:r w:rsidR="00156CCB">
        <w:t>i</w:t>
      </w:r>
      <w:r>
        <w:t>s label should be “</w:t>
      </w:r>
      <w:r>
        <w:rPr>
          <w:rFonts w:asciiTheme="minorHAnsi" w:eastAsia="Calibri" w:hAnsiTheme="minorHAnsi"/>
          <w:bCs/>
          <w:iCs/>
        </w:rPr>
        <w:t>s</w:t>
      </w:r>
      <w:r w:rsidRPr="004C6F03">
        <w:rPr>
          <w:rFonts w:asciiTheme="minorHAnsi" w:eastAsia="Calibri" w:hAnsiTheme="minorHAnsi"/>
          <w:bCs/>
          <w:iCs/>
        </w:rPr>
        <w:t>pearman rank correlation coefficient</w:t>
      </w:r>
      <w:r>
        <w:rPr>
          <w:rFonts w:asciiTheme="minorHAnsi" w:eastAsia="Calibri" w:hAnsiTheme="minorHAnsi"/>
          <w:bCs/>
          <w:iCs/>
        </w:rPr>
        <w:t xml:space="preserve"> (r)”, no? Also I feel like Roger, but red and green might not be a perfect choice maybe…sorry! This comment applies to all graphs of the simulation section.</w:t>
      </w:r>
    </w:p>
  </w:comment>
  <w:comment w:id="20" w:author="anna" w:date="2020-05-17T12:08:00Z" w:initials="a">
    <w:p w14:paraId="54434C72" w14:textId="1DE687DF" w:rsidR="008233F7" w:rsidRDefault="008233F7">
      <w:pPr>
        <w:pStyle w:val="CommentText"/>
        <w:ind w:left="0" w:hanging="2"/>
      </w:pPr>
      <w:r>
        <w:rPr>
          <w:rStyle w:val="CommentReference"/>
        </w:rPr>
        <w:annotationRef/>
      </w:r>
      <w:r w:rsidR="000C698F" w:rsidRPr="000C698F">
        <w:t>I'm not sure I understand why you do not give the values for Standardized Consistency and SD for Contact Aggression and Food Sharing in the table. I understand that they were super low, but why they cannot be indicated is not clear to me. Maybe you could just add an explanation for this "-" sign in the table, that would be helpful for understanding.</w:t>
      </w:r>
    </w:p>
  </w:comment>
  <w:comment w:id="21" w:author="anna" w:date="2020-05-17T12:14:00Z" w:initials="a">
    <w:p w14:paraId="54E9ECAD" w14:textId="1F8B6236" w:rsidR="00156CCB" w:rsidRPr="00156CCB" w:rsidRDefault="00156CCB">
      <w:pPr>
        <w:pStyle w:val="CommentText"/>
        <w:ind w:left="0" w:hanging="2"/>
      </w:pPr>
      <w:r>
        <w:rPr>
          <w:rStyle w:val="CommentReference"/>
        </w:rPr>
        <w:annotationRef/>
      </w:r>
      <w:r w:rsidRPr="00156CCB">
        <w:t xml:space="preserve">Better colours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156CCB">
        <w:t xml:space="preserve"> y-axes labels should b</w:t>
      </w:r>
      <w:r>
        <w:t xml:space="preserve">e “median r” I guess. </w:t>
      </w:r>
    </w:p>
  </w:comment>
  <w:comment w:id="23" w:author="anna" w:date="2020-05-17T12:20:00Z" w:initials="a">
    <w:p w14:paraId="5DCB2C51" w14:textId="2C9EB2C1" w:rsidR="00AF4AF2" w:rsidRDefault="00AF4AF2">
      <w:pPr>
        <w:pStyle w:val="CommentText"/>
        <w:ind w:left="0" w:hanging="2"/>
      </w:pPr>
      <w:r>
        <w:rPr>
          <w:rStyle w:val="CommentReference"/>
        </w:rPr>
        <w:annotationRef/>
      </w:r>
      <w:r>
        <w:t>“to reach r=0.5”, r is missing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81A77D" w15:done="0"/>
  <w15:commentEx w15:paraId="5C6E1131" w15:done="0"/>
  <w15:commentEx w15:paraId="569A5975" w15:done="0"/>
  <w15:commentEx w15:paraId="23697937" w15:done="0"/>
  <w15:commentEx w15:paraId="54434C72" w15:done="0"/>
  <w15:commentEx w15:paraId="54E9ECAD" w15:done="0"/>
  <w15:commentEx w15:paraId="5DCB2C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CAC1" w16cex:dateUtc="2020-05-16T20:25:00Z"/>
  <w16cex:commentExtensible w16cex:durableId="226ACD52" w16cex:dateUtc="2020-05-16T20:36:00Z"/>
  <w16cex:commentExtensible w16cex:durableId="226AD472" w16cex:dateUtc="2020-05-16T21:06:00Z"/>
  <w16cex:commentExtensible w16cex:durableId="226BA1CC" w16cex:dateUtc="2020-05-17T11:43:00Z"/>
  <w16cex:commentExtensible w16cex:durableId="226BA7A9" w16cex:dateUtc="2020-05-17T12:08:00Z"/>
  <w16cex:commentExtensible w16cex:durableId="226BA92C" w16cex:dateUtc="2020-05-17T12:14:00Z"/>
  <w16cex:commentExtensible w16cex:durableId="226BAA8C" w16cex:dateUtc="2020-05-17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81A77D" w16cid:durableId="226ACAC1"/>
  <w16cid:commentId w16cid:paraId="5C6E1131" w16cid:durableId="226ACD52"/>
  <w16cid:commentId w16cid:paraId="569A5975" w16cid:durableId="226AD472"/>
  <w16cid:commentId w16cid:paraId="23697937" w16cid:durableId="226BA1CC"/>
  <w16cid:commentId w16cid:paraId="54434C72" w16cid:durableId="226BA7A9"/>
  <w16cid:commentId w16cid:paraId="54E9ECAD" w16cid:durableId="226BA92C"/>
  <w16cid:commentId w16cid:paraId="5DCB2C51" w16cid:durableId="226BAA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9AF887" w14:textId="77777777" w:rsidR="008D4DB3" w:rsidRDefault="008D4DB3">
      <w:pPr>
        <w:spacing w:line="240" w:lineRule="auto"/>
        <w:ind w:left="0" w:hanging="2"/>
      </w:pPr>
      <w:r>
        <w:separator/>
      </w:r>
    </w:p>
  </w:endnote>
  <w:endnote w:type="continuationSeparator" w:id="0">
    <w:p w14:paraId="4224177C" w14:textId="77777777" w:rsidR="008D4DB3" w:rsidRDefault="008D4DB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83C29" w14:textId="77777777" w:rsidR="008233F7" w:rsidRDefault="008233F7">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904660"/>
    </w:sdtPr>
    <w:sdtContent>
      <w:p w14:paraId="3A85FE8C" w14:textId="77777777" w:rsidR="008233F7" w:rsidRDefault="008233F7">
        <w:pPr>
          <w:pStyle w:val="Footer"/>
          <w:ind w:left="0" w:hanging="2"/>
          <w:jc w:val="right"/>
        </w:pPr>
        <w:r>
          <w:fldChar w:fldCharType="begin"/>
        </w:r>
        <w:r>
          <w:instrText xml:space="preserve"> PAGE   \* MERGEFORMAT </w:instrText>
        </w:r>
        <w:r>
          <w:fldChar w:fldCharType="separate"/>
        </w:r>
        <w:r>
          <w:t>42</w:t>
        </w:r>
        <w:r>
          <w:fldChar w:fldCharType="end"/>
        </w:r>
      </w:p>
    </w:sdtContent>
  </w:sdt>
  <w:p w14:paraId="41831348" w14:textId="77777777" w:rsidR="008233F7" w:rsidRDefault="008233F7">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7D64E" w14:textId="77777777" w:rsidR="008233F7" w:rsidRDefault="008233F7">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117D1" w14:textId="77777777" w:rsidR="008D4DB3" w:rsidRDefault="008D4DB3">
      <w:pPr>
        <w:spacing w:line="240" w:lineRule="auto"/>
        <w:ind w:left="0" w:hanging="2"/>
      </w:pPr>
      <w:r>
        <w:separator/>
      </w:r>
    </w:p>
  </w:footnote>
  <w:footnote w:type="continuationSeparator" w:id="0">
    <w:p w14:paraId="2FD2B66A" w14:textId="77777777" w:rsidR="008D4DB3" w:rsidRDefault="008D4DB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80EAB" w14:textId="77777777" w:rsidR="008233F7" w:rsidRDefault="008233F7">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CE02D" w14:textId="77777777" w:rsidR="008233F7" w:rsidRDefault="008233F7">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CB73D" w14:textId="77777777" w:rsidR="008233F7" w:rsidRDefault="008233F7">
    <w:pPr>
      <w:pStyle w:val="Header"/>
      <w:ind w:left="0" w:hanging="2"/>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na">
    <w15:presenceInfo w15:providerId="None" w15:userId="an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71E"/>
    <w:rsid w:val="000039A5"/>
    <w:rsid w:val="00005455"/>
    <w:rsid w:val="000066CF"/>
    <w:rsid w:val="00013D27"/>
    <w:rsid w:val="000243AB"/>
    <w:rsid w:val="00026B41"/>
    <w:rsid w:val="00032198"/>
    <w:rsid w:val="00033260"/>
    <w:rsid w:val="000333FF"/>
    <w:rsid w:val="00041773"/>
    <w:rsid w:val="000427A0"/>
    <w:rsid w:val="00044853"/>
    <w:rsid w:val="000448E7"/>
    <w:rsid w:val="00045990"/>
    <w:rsid w:val="00050D2F"/>
    <w:rsid w:val="00052022"/>
    <w:rsid w:val="00052B90"/>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C698F"/>
    <w:rsid w:val="000D354E"/>
    <w:rsid w:val="000D4745"/>
    <w:rsid w:val="000D7B96"/>
    <w:rsid w:val="000E0263"/>
    <w:rsid w:val="000E02FE"/>
    <w:rsid w:val="000F09FF"/>
    <w:rsid w:val="000F2A2D"/>
    <w:rsid w:val="000F336B"/>
    <w:rsid w:val="000F4377"/>
    <w:rsid w:val="000F5B63"/>
    <w:rsid w:val="000F5ED3"/>
    <w:rsid w:val="000F6C40"/>
    <w:rsid w:val="000F7598"/>
    <w:rsid w:val="00103654"/>
    <w:rsid w:val="00112A6C"/>
    <w:rsid w:val="00113609"/>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93F"/>
    <w:rsid w:val="00156590"/>
    <w:rsid w:val="00156CCB"/>
    <w:rsid w:val="0015775D"/>
    <w:rsid w:val="001578F3"/>
    <w:rsid w:val="00160F81"/>
    <w:rsid w:val="001618B0"/>
    <w:rsid w:val="00163CF3"/>
    <w:rsid w:val="00172413"/>
    <w:rsid w:val="00174713"/>
    <w:rsid w:val="00177C28"/>
    <w:rsid w:val="00182D01"/>
    <w:rsid w:val="0018319A"/>
    <w:rsid w:val="00185B63"/>
    <w:rsid w:val="0018729D"/>
    <w:rsid w:val="00192031"/>
    <w:rsid w:val="00195D7E"/>
    <w:rsid w:val="00197E1D"/>
    <w:rsid w:val="001B1DBF"/>
    <w:rsid w:val="001B44D9"/>
    <w:rsid w:val="001B54F0"/>
    <w:rsid w:val="001B57A4"/>
    <w:rsid w:val="001B598F"/>
    <w:rsid w:val="001B5B34"/>
    <w:rsid w:val="001B620C"/>
    <w:rsid w:val="001C126C"/>
    <w:rsid w:val="001C22EB"/>
    <w:rsid w:val="001C3E0D"/>
    <w:rsid w:val="001C430C"/>
    <w:rsid w:val="001C5FBD"/>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26F"/>
    <w:rsid w:val="002235C7"/>
    <w:rsid w:val="002259F3"/>
    <w:rsid w:val="00226D13"/>
    <w:rsid w:val="00227B1C"/>
    <w:rsid w:val="0023249F"/>
    <w:rsid w:val="00234A0C"/>
    <w:rsid w:val="00237815"/>
    <w:rsid w:val="00237B4A"/>
    <w:rsid w:val="002452F1"/>
    <w:rsid w:val="00246B88"/>
    <w:rsid w:val="00246E97"/>
    <w:rsid w:val="00247F05"/>
    <w:rsid w:val="00257A07"/>
    <w:rsid w:val="0026051E"/>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7341"/>
    <w:rsid w:val="00287D92"/>
    <w:rsid w:val="00290764"/>
    <w:rsid w:val="002911B4"/>
    <w:rsid w:val="002911C4"/>
    <w:rsid w:val="00291E35"/>
    <w:rsid w:val="0029559F"/>
    <w:rsid w:val="00295D36"/>
    <w:rsid w:val="0029789F"/>
    <w:rsid w:val="00297D84"/>
    <w:rsid w:val="002A165E"/>
    <w:rsid w:val="002A1FBB"/>
    <w:rsid w:val="002A3884"/>
    <w:rsid w:val="002A3FA9"/>
    <w:rsid w:val="002A5088"/>
    <w:rsid w:val="002A630D"/>
    <w:rsid w:val="002B3B1F"/>
    <w:rsid w:val="002C21CD"/>
    <w:rsid w:val="002C242A"/>
    <w:rsid w:val="002C3404"/>
    <w:rsid w:val="002C73FA"/>
    <w:rsid w:val="002D1271"/>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904"/>
    <w:rsid w:val="0030490F"/>
    <w:rsid w:val="003053B2"/>
    <w:rsid w:val="00310558"/>
    <w:rsid w:val="00311387"/>
    <w:rsid w:val="003126F4"/>
    <w:rsid w:val="00312E47"/>
    <w:rsid w:val="00320BA2"/>
    <w:rsid w:val="00322398"/>
    <w:rsid w:val="00322DB3"/>
    <w:rsid w:val="0032596C"/>
    <w:rsid w:val="003278A8"/>
    <w:rsid w:val="003279C4"/>
    <w:rsid w:val="00334A46"/>
    <w:rsid w:val="00334D3D"/>
    <w:rsid w:val="00335F60"/>
    <w:rsid w:val="0034179C"/>
    <w:rsid w:val="003421C8"/>
    <w:rsid w:val="00345316"/>
    <w:rsid w:val="00346875"/>
    <w:rsid w:val="00346D49"/>
    <w:rsid w:val="00347EFA"/>
    <w:rsid w:val="00350571"/>
    <w:rsid w:val="00351A82"/>
    <w:rsid w:val="00352D3B"/>
    <w:rsid w:val="00354444"/>
    <w:rsid w:val="003601E1"/>
    <w:rsid w:val="00363219"/>
    <w:rsid w:val="00364458"/>
    <w:rsid w:val="00364B9E"/>
    <w:rsid w:val="0036699B"/>
    <w:rsid w:val="00376C1B"/>
    <w:rsid w:val="0037766C"/>
    <w:rsid w:val="00377F85"/>
    <w:rsid w:val="0038060C"/>
    <w:rsid w:val="003810EC"/>
    <w:rsid w:val="00381820"/>
    <w:rsid w:val="00383737"/>
    <w:rsid w:val="00386458"/>
    <w:rsid w:val="00387C31"/>
    <w:rsid w:val="00393B90"/>
    <w:rsid w:val="003A0168"/>
    <w:rsid w:val="003A04C5"/>
    <w:rsid w:val="003A1F1C"/>
    <w:rsid w:val="003A70E7"/>
    <w:rsid w:val="003B3718"/>
    <w:rsid w:val="003B46A2"/>
    <w:rsid w:val="003B6946"/>
    <w:rsid w:val="003C24C4"/>
    <w:rsid w:val="003C24E5"/>
    <w:rsid w:val="003C26B5"/>
    <w:rsid w:val="003C5A74"/>
    <w:rsid w:val="003C7217"/>
    <w:rsid w:val="003D5FCF"/>
    <w:rsid w:val="003D61D3"/>
    <w:rsid w:val="003E0A16"/>
    <w:rsid w:val="003E2354"/>
    <w:rsid w:val="003E2652"/>
    <w:rsid w:val="003E4101"/>
    <w:rsid w:val="003E433C"/>
    <w:rsid w:val="003E50E4"/>
    <w:rsid w:val="003F59B7"/>
    <w:rsid w:val="003F65AF"/>
    <w:rsid w:val="003F7882"/>
    <w:rsid w:val="00400E6B"/>
    <w:rsid w:val="004117AA"/>
    <w:rsid w:val="004117B4"/>
    <w:rsid w:val="00411A15"/>
    <w:rsid w:val="00412407"/>
    <w:rsid w:val="0042023A"/>
    <w:rsid w:val="00425EED"/>
    <w:rsid w:val="004272A6"/>
    <w:rsid w:val="00431565"/>
    <w:rsid w:val="004319C8"/>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85C"/>
    <w:rsid w:val="004845C7"/>
    <w:rsid w:val="00484B91"/>
    <w:rsid w:val="0048554C"/>
    <w:rsid w:val="00491880"/>
    <w:rsid w:val="004A1236"/>
    <w:rsid w:val="004A57E7"/>
    <w:rsid w:val="004A5DD6"/>
    <w:rsid w:val="004A60A5"/>
    <w:rsid w:val="004A625A"/>
    <w:rsid w:val="004A6787"/>
    <w:rsid w:val="004A6AE0"/>
    <w:rsid w:val="004A75EA"/>
    <w:rsid w:val="004B0068"/>
    <w:rsid w:val="004B2AA2"/>
    <w:rsid w:val="004B5235"/>
    <w:rsid w:val="004C6F03"/>
    <w:rsid w:val="004C7367"/>
    <w:rsid w:val="004C7E1C"/>
    <w:rsid w:val="004D5B95"/>
    <w:rsid w:val="004E0953"/>
    <w:rsid w:val="004E0A69"/>
    <w:rsid w:val="004E1FB2"/>
    <w:rsid w:val="004E4F51"/>
    <w:rsid w:val="004E682E"/>
    <w:rsid w:val="004E7328"/>
    <w:rsid w:val="004E7CBD"/>
    <w:rsid w:val="004F286F"/>
    <w:rsid w:val="004F6F29"/>
    <w:rsid w:val="00506A45"/>
    <w:rsid w:val="005102A2"/>
    <w:rsid w:val="005124F6"/>
    <w:rsid w:val="00512B19"/>
    <w:rsid w:val="00514936"/>
    <w:rsid w:val="00521168"/>
    <w:rsid w:val="005213F1"/>
    <w:rsid w:val="00526C3F"/>
    <w:rsid w:val="00531CD8"/>
    <w:rsid w:val="00532867"/>
    <w:rsid w:val="005337F9"/>
    <w:rsid w:val="00534431"/>
    <w:rsid w:val="00537A99"/>
    <w:rsid w:val="00540289"/>
    <w:rsid w:val="00542310"/>
    <w:rsid w:val="00542CAC"/>
    <w:rsid w:val="00542EE0"/>
    <w:rsid w:val="0054598D"/>
    <w:rsid w:val="00547D2A"/>
    <w:rsid w:val="00551760"/>
    <w:rsid w:val="005552F8"/>
    <w:rsid w:val="00557A07"/>
    <w:rsid w:val="0056079C"/>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C0503"/>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BA2"/>
    <w:rsid w:val="00614981"/>
    <w:rsid w:val="006169FF"/>
    <w:rsid w:val="00617133"/>
    <w:rsid w:val="0061789F"/>
    <w:rsid w:val="00620C0F"/>
    <w:rsid w:val="006242E2"/>
    <w:rsid w:val="00624F5F"/>
    <w:rsid w:val="00626266"/>
    <w:rsid w:val="00633304"/>
    <w:rsid w:val="00634B56"/>
    <w:rsid w:val="006441E9"/>
    <w:rsid w:val="00644A43"/>
    <w:rsid w:val="00650B0B"/>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DB7"/>
    <w:rsid w:val="006A1717"/>
    <w:rsid w:val="006A2CE8"/>
    <w:rsid w:val="006A3FEB"/>
    <w:rsid w:val="006A4C7D"/>
    <w:rsid w:val="006A5DB7"/>
    <w:rsid w:val="006B0AFE"/>
    <w:rsid w:val="006B3E36"/>
    <w:rsid w:val="006C5763"/>
    <w:rsid w:val="006C6A91"/>
    <w:rsid w:val="006D0760"/>
    <w:rsid w:val="006D1113"/>
    <w:rsid w:val="006D2106"/>
    <w:rsid w:val="006D608A"/>
    <w:rsid w:val="006D6BCE"/>
    <w:rsid w:val="006D6E6E"/>
    <w:rsid w:val="006D74FE"/>
    <w:rsid w:val="006E656B"/>
    <w:rsid w:val="006E7093"/>
    <w:rsid w:val="006F029E"/>
    <w:rsid w:val="006F1941"/>
    <w:rsid w:val="006F42AB"/>
    <w:rsid w:val="00701433"/>
    <w:rsid w:val="007031AD"/>
    <w:rsid w:val="00703C07"/>
    <w:rsid w:val="007042DD"/>
    <w:rsid w:val="00710134"/>
    <w:rsid w:val="00713A4F"/>
    <w:rsid w:val="0071472A"/>
    <w:rsid w:val="007151E6"/>
    <w:rsid w:val="0071591B"/>
    <w:rsid w:val="0071642C"/>
    <w:rsid w:val="00722641"/>
    <w:rsid w:val="007247B8"/>
    <w:rsid w:val="00727DC2"/>
    <w:rsid w:val="00735186"/>
    <w:rsid w:val="007351A6"/>
    <w:rsid w:val="0073675B"/>
    <w:rsid w:val="0073734E"/>
    <w:rsid w:val="007405BC"/>
    <w:rsid w:val="00743BBB"/>
    <w:rsid w:val="0074518B"/>
    <w:rsid w:val="00745615"/>
    <w:rsid w:val="00747B81"/>
    <w:rsid w:val="00754188"/>
    <w:rsid w:val="007549E2"/>
    <w:rsid w:val="00754F79"/>
    <w:rsid w:val="007561A6"/>
    <w:rsid w:val="00756658"/>
    <w:rsid w:val="0076005E"/>
    <w:rsid w:val="00762352"/>
    <w:rsid w:val="00762B77"/>
    <w:rsid w:val="00762DC7"/>
    <w:rsid w:val="0077339B"/>
    <w:rsid w:val="00774220"/>
    <w:rsid w:val="007810F6"/>
    <w:rsid w:val="00782B11"/>
    <w:rsid w:val="007844AD"/>
    <w:rsid w:val="00784E66"/>
    <w:rsid w:val="007853DC"/>
    <w:rsid w:val="00792622"/>
    <w:rsid w:val="007940D7"/>
    <w:rsid w:val="007953E1"/>
    <w:rsid w:val="00795AB4"/>
    <w:rsid w:val="0079667B"/>
    <w:rsid w:val="00796873"/>
    <w:rsid w:val="00796B1E"/>
    <w:rsid w:val="007A1593"/>
    <w:rsid w:val="007A5217"/>
    <w:rsid w:val="007B071A"/>
    <w:rsid w:val="007B46DE"/>
    <w:rsid w:val="007B7538"/>
    <w:rsid w:val="007C40D6"/>
    <w:rsid w:val="007C543E"/>
    <w:rsid w:val="007C5734"/>
    <w:rsid w:val="007C7571"/>
    <w:rsid w:val="007D050F"/>
    <w:rsid w:val="007D34CB"/>
    <w:rsid w:val="007D3DD1"/>
    <w:rsid w:val="007D582D"/>
    <w:rsid w:val="007D6D8A"/>
    <w:rsid w:val="007D705D"/>
    <w:rsid w:val="007D78B1"/>
    <w:rsid w:val="007E2237"/>
    <w:rsid w:val="007E2F8C"/>
    <w:rsid w:val="007E4627"/>
    <w:rsid w:val="007E5A39"/>
    <w:rsid w:val="007E62D1"/>
    <w:rsid w:val="007E62F3"/>
    <w:rsid w:val="007F255C"/>
    <w:rsid w:val="007F2E04"/>
    <w:rsid w:val="007F604A"/>
    <w:rsid w:val="007F7374"/>
    <w:rsid w:val="007F7BD9"/>
    <w:rsid w:val="00800E0C"/>
    <w:rsid w:val="00802B43"/>
    <w:rsid w:val="0080385F"/>
    <w:rsid w:val="008055C0"/>
    <w:rsid w:val="00806460"/>
    <w:rsid w:val="00806F6D"/>
    <w:rsid w:val="00813A80"/>
    <w:rsid w:val="00813B0E"/>
    <w:rsid w:val="0081621D"/>
    <w:rsid w:val="00817329"/>
    <w:rsid w:val="008204AB"/>
    <w:rsid w:val="008233F7"/>
    <w:rsid w:val="00824DA2"/>
    <w:rsid w:val="00825F98"/>
    <w:rsid w:val="008267CC"/>
    <w:rsid w:val="00826E7E"/>
    <w:rsid w:val="00827A9D"/>
    <w:rsid w:val="008311D9"/>
    <w:rsid w:val="008314D4"/>
    <w:rsid w:val="00832CDE"/>
    <w:rsid w:val="008351B5"/>
    <w:rsid w:val="00836E1B"/>
    <w:rsid w:val="00841413"/>
    <w:rsid w:val="00842CC5"/>
    <w:rsid w:val="0084407E"/>
    <w:rsid w:val="008465F3"/>
    <w:rsid w:val="00853D34"/>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4DB3"/>
    <w:rsid w:val="008D64CB"/>
    <w:rsid w:val="008D7F98"/>
    <w:rsid w:val="008E22B0"/>
    <w:rsid w:val="008E2E67"/>
    <w:rsid w:val="008E3EDC"/>
    <w:rsid w:val="008E400E"/>
    <w:rsid w:val="008E6ED8"/>
    <w:rsid w:val="008F1CA8"/>
    <w:rsid w:val="008F243A"/>
    <w:rsid w:val="008F3122"/>
    <w:rsid w:val="008F3733"/>
    <w:rsid w:val="008F41A3"/>
    <w:rsid w:val="008F6A8A"/>
    <w:rsid w:val="008F7088"/>
    <w:rsid w:val="0090269B"/>
    <w:rsid w:val="00903D1C"/>
    <w:rsid w:val="00904B90"/>
    <w:rsid w:val="009051A7"/>
    <w:rsid w:val="00907639"/>
    <w:rsid w:val="0091217C"/>
    <w:rsid w:val="009130FE"/>
    <w:rsid w:val="009156E7"/>
    <w:rsid w:val="00921F4E"/>
    <w:rsid w:val="0092656E"/>
    <w:rsid w:val="009300DD"/>
    <w:rsid w:val="00934ACC"/>
    <w:rsid w:val="00934B00"/>
    <w:rsid w:val="0093740D"/>
    <w:rsid w:val="0094076C"/>
    <w:rsid w:val="00942011"/>
    <w:rsid w:val="009437B8"/>
    <w:rsid w:val="00947746"/>
    <w:rsid w:val="009511E5"/>
    <w:rsid w:val="00953034"/>
    <w:rsid w:val="00953918"/>
    <w:rsid w:val="009565C4"/>
    <w:rsid w:val="009610EB"/>
    <w:rsid w:val="009630C5"/>
    <w:rsid w:val="00963887"/>
    <w:rsid w:val="00963FC2"/>
    <w:rsid w:val="00964D5E"/>
    <w:rsid w:val="009735C4"/>
    <w:rsid w:val="00974C64"/>
    <w:rsid w:val="00975CD3"/>
    <w:rsid w:val="00980821"/>
    <w:rsid w:val="00981752"/>
    <w:rsid w:val="00981920"/>
    <w:rsid w:val="009836FF"/>
    <w:rsid w:val="009839A6"/>
    <w:rsid w:val="00983F21"/>
    <w:rsid w:val="009909AE"/>
    <w:rsid w:val="00990B14"/>
    <w:rsid w:val="00992399"/>
    <w:rsid w:val="00993BF8"/>
    <w:rsid w:val="00995A22"/>
    <w:rsid w:val="009A14E4"/>
    <w:rsid w:val="009A6929"/>
    <w:rsid w:val="009B14E2"/>
    <w:rsid w:val="009B20C0"/>
    <w:rsid w:val="009B28A8"/>
    <w:rsid w:val="009B32D1"/>
    <w:rsid w:val="009B5F59"/>
    <w:rsid w:val="009C0446"/>
    <w:rsid w:val="009C1BD0"/>
    <w:rsid w:val="009C2277"/>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6752"/>
    <w:rsid w:val="00A37E08"/>
    <w:rsid w:val="00A402D7"/>
    <w:rsid w:val="00A405AD"/>
    <w:rsid w:val="00A43653"/>
    <w:rsid w:val="00A534D3"/>
    <w:rsid w:val="00A535CE"/>
    <w:rsid w:val="00A53C45"/>
    <w:rsid w:val="00A54CD6"/>
    <w:rsid w:val="00A575A3"/>
    <w:rsid w:val="00A65560"/>
    <w:rsid w:val="00A70E60"/>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4AF2"/>
    <w:rsid w:val="00AF6BB3"/>
    <w:rsid w:val="00B004F8"/>
    <w:rsid w:val="00B00AA7"/>
    <w:rsid w:val="00B0502A"/>
    <w:rsid w:val="00B0527A"/>
    <w:rsid w:val="00B06E45"/>
    <w:rsid w:val="00B07AB2"/>
    <w:rsid w:val="00B07F1D"/>
    <w:rsid w:val="00B10F17"/>
    <w:rsid w:val="00B1339B"/>
    <w:rsid w:val="00B15C12"/>
    <w:rsid w:val="00B23EC0"/>
    <w:rsid w:val="00B244F2"/>
    <w:rsid w:val="00B27001"/>
    <w:rsid w:val="00B3082F"/>
    <w:rsid w:val="00B30D6A"/>
    <w:rsid w:val="00B31432"/>
    <w:rsid w:val="00B324CD"/>
    <w:rsid w:val="00B401D0"/>
    <w:rsid w:val="00B43E89"/>
    <w:rsid w:val="00B4481E"/>
    <w:rsid w:val="00B44C92"/>
    <w:rsid w:val="00B4563D"/>
    <w:rsid w:val="00B46162"/>
    <w:rsid w:val="00B47E65"/>
    <w:rsid w:val="00B564DF"/>
    <w:rsid w:val="00B57EC5"/>
    <w:rsid w:val="00B61C08"/>
    <w:rsid w:val="00B62980"/>
    <w:rsid w:val="00B66AB5"/>
    <w:rsid w:val="00B71FC3"/>
    <w:rsid w:val="00B727F8"/>
    <w:rsid w:val="00B747A5"/>
    <w:rsid w:val="00B75899"/>
    <w:rsid w:val="00B75DE0"/>
    <w:rsid w:val="00B808D1"/>
    <w:rsid w:val="00B809DC"/>
    <w:rsid w:val="00B82CD1"/>
    <w:rsid w:val="00B83870"/>
    <w:rsid w:val="00B847AE"/>
    <w:rsid w:val="00B9463D"/>
    <w:rsid w:val="00B95255"/>
    <w:rsid w:val="00BA0B43"/>
    <w:rsid w:val="00BA18DC"/>
    <w:rsid w:val="00BA37C1"/>
    <w:rsid w:val="00BA59B8"/>
    <w:rsid w:val="00BA6655"/>
    <w:rsid w:val="00BB0D3E"/>
    <w:rsid w:val="00BB14FF"/>
    <w:rsid w:val="00BB169F"/>
    <w:rsid w:val="00BB3E27"/>
    <w:rsid w:val="00BB7D73"/>
    <w:rsid w:val="00BC4236"/>
    <w:rsid w:val="00BC6FDC"/>
    <w:rsid w:val="00BC7900"/>
    <w:rsid w:val="00BD073D"/>
    <w:rsid w:val="00BD4335"/>
    <w:rsid w:val="00BD62F1"/>
    <w:rsid w:val="00BE0F04"/>
    <w:rsid w:val="00BE1143"/>
    <w:rsid w:val="00BE3621"/>
    <w:rsid w:val="00BE3E4F"/>
    <w:rsid w:val="00BE5D0A"/>
    <w:rsid w:val="00BF5CFD"/>
    <w:rsid w:val="00C01317"/>
    <w:rsid w:val="00C016E0"/>
    <w:rsid w:val="00C04F19"/>
    <w:rsid w:val="00C05230"/>
    <w:rsid w:val="00C057D5"/>
    <w:rsid w:val="00C07C81"/>
    <w:rsid w:val="00C10260"/>
    <w:rsid w:val="00C11201"/>
    <w:rsid w:val="00C153DD"/>
    <w:rsid w:val="00C248BC"/>
    <w:rsid w:val="00C2585E"/>
    <w:rsid w:val="00C2592D"/>
    <w:rsid w:val="00C25E34"/>
    <w:rsid w:val="00C30557"/>
    <w:rsid w:val="00C373C8"/>
    <w:rsid w:val="00C42433"/>
    <w:rsid w:val="00C4296B"/>
    <w:rsid w:val="00C45B14"/>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76C4"/>
    <w:rsid w:val="00D42EE6"/>
    <w:rsid w:val="00D479D9"/>
    <w:rsid w:val="00D543BF"/>
    <w:rsid w:val="00D6293C"/>
    <w:rsid w:val="00D632B9"/>
    <w:rsid w:val="00D63D70"/>
    <w:rsid w:val="00D653F4"/>
    <w:rsid w:val="00D677F2"/>
    <w:rsid w:val="00D708DA"/>
    <w:rsid w:val="00D76297"/>
    <w:rsid w:val="00D77DA7"/>
    <w:rsid w:val="00D80DF7"/>
    <w:rsid w:val="00D837D9"/>
    <w:rsid w:val="00D846DD"/>
    <w:rsid w:val="00D8790D"/>
    <w:rsid w:val="00D9383C"/>
    <w:rsid w:val="00D93951"/>
    <w:rsid w:val="00DA36AC"/>
    <w:rsid w:val="00DA40BC"/>
    <w:rsid w:val="00DA4B10"/>
    <w:rsid w:val="00DA6EE8"/>
    <w:rsid w:val="00DB0F70"/>
    <w:rsid w:val="00DB1508"/>
    <w:rsid w:val="00DB32B4"/>
    <w:rsid w:val="00DB4C94"/>
    <w:rsid w:val="00DB5B8F"/>
    <w:rsid w:val="00DC1D53"/>
    <w:rsid w:val="00DC4052"/>
    <w:rsid w:val="00DD238A"/>
    <w:rsid w:val="00DE1E8E"/>
    <w:rsid w:val="00DE443B"/>
    <w:rsid w:val="00DE600A"/>
    <w:rsid w:val="00DF37DA"/>
    <w:rsid w:val="00E01658"/>
    <w:rsid w:val="00E02361"/>
    <w:rsid w:val="00E03C53"/>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29EA"/>
    <w:rsid w:val="00E84094"/>
    <w:rsid w:val="00E87C82"/>
    <w:rsid w:val="00E9369F"/>
    <w:rsid w:val="00E970C8"/>
    <w:rsid w:val="00EA0F7B"/>
    <w:rsid w:val="00EA72A4"/>
    <w:rsid w:val="00EB03EB"/>
    <w:rsid w:val="00EB48BB"/>
    <w:rsid w:val="00EB6EA3"/>
    <w:rsid w:val="00EB785F"/>
    <w:rsid w:val="00EB78E3"/>
    <w:rsid w:val="00EC449E"/>
    <w:rsid w:val="00EC5389"/>
    <w:rsid w:val="00EC679F"/>
    <w:rsid w:val="00EC6DBD"/>
    <w:rsid w:val="00ED4A4E"/>
    <w:rsid w:val="00EE1BD4"/>
    <w:rsid w:val="00EE34B3"/>
    <w:rsid w:val="00EE38A9"/>
    <w:rsid w:val="00EE6145"/>
    <w:rsid w:val="00EE6158"/>
    <w:rsid w:val="00EE664C"/>
    <w:rsid w:val="00EE774B"/>
    <w:rsid w:val="00EF0FAA"/>
    <w:rsid w:val="00EF216E"/>
    <w:rsid w:val="00EF2ED3"/>
    <w:rsid w:val="00EF2EE7"/>
    <w:rsid w:val="00EF31DF"/>
    <w:rsid w:val="00EF55AF"/>
    <w:rsid w:val="00EF6E49"/>
    <w:rsid w:val="00EF6F97"/>
    <w:rsid w:val="00F03982"/>
    <w:rsid w:val="00F05993"/>
    <w:rsid w:val="00F103EA"/>
    <w:rsid w:val="00F11CB4"/>
    <w:rsid w:val="00F13CA5"/>
    <w:rsid w:val="00F14954"/>
    <w:rsid w:val="00F1609C"/>
    <w:rsid w:val="00F173A4"/>
    <w:rsid w:val="00F2111F"/>
    <w:rsid w:val="00F279FF"/>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FBD"/>
    <w:rsid w:val="00F71D5C"/>
    <w:rsid w:val="00F754E4"/>
    <w:rsid w:val="00F80D9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7653"/>
    <w:rsid w:val="00FE015F"/>
    <w:rsid w:val="00FE4070"/>
    <w:rsid w:val="00FE408E"/>
    <w:rsid w:val="00FE41F1"/>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776820-9DE2-4FDD-ADF6-C561EA301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30</Pages>
  <Words>29465</Words>
  <Characters>167953</Characters>
  <Application>Microsoft Office Word</Application>
  <DocSecurity>0</DocSecurity>
  <Lines>1399</Lines>
  <Paragraphs>394</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Mielke</dc:creator>
  <cp:lastModifiedBy>anna</cp:lastModifiedBy>
  <cp:revision>12</cp:revision>
  <cp:lastPrinted>2019-01-11T12:43:00Z</cp:lastPrinted>
  <dcterms:created xsi:type="dcterms:W3CDTF">2020-05-16T20:25:00Z</dcterms:created>
  <dcterms:modified xsi:type="dcterms:W3CDTF">2020-05-17T12:30:00Z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