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2273300" cy="11842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8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Computer Games Development</w:t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Software Requirements Specification</w:t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Year IV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[Alex Mounsey]</w:t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[C00183849]</w:t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[Date of Submission]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[Declaration form to be attached]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m82fbljqnbnh" w:id="0"/>
      <w:bookmarkEnd w:id="0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v06kgc5rtvq" w:id="1"/>
      <w:bookmarkEnd w:id="1"/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Fully customisable and dynamic CA generator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 to interpret the CA system output as musical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krccjg8f6wgq" w:id="2"/>
      <w:bookmarkEnd w:id="2"/>
      <w:r w:rsidDel="00000000" w:rsidR="00000000" w:rsidRPr="00000000">
        <w:rPr>
          <w:rtl w:val="0"/>
        </w:rPr>
        <w:t xml:space="preserve">Less Important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Multiple Instruments playing from their own generated CA in unison.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Creating CA formulae that allow different music genres to be chosen.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xk38zez7dapg" w:id="3"/>
      <w:bookmarkEnd w:id="3"/>
      <w:r w:rsidDel="00000000" w:rsidR="00000000" w:rsidRPr="00000000">
        <w:rPr>
          <w:rtl w:val="0"/>
        </w:rPr>
        <w:t xml:space="preserve">Extra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