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7333"/>
          <w:sz w:val="26"/>
        </w:rPr>
        <w:t>SECURECAMPUS</w:t>
      </w:r>
    </w:p>
    <w:p>
      <w:pPr>
        <w:pStyle w:val="Title"/>
        <w:jc w:val="center"/>
      </w:pPr>
      <w:r>
        <w:t>SC-LAB-002 · Mapa de Seguridad a lo largo del SDLC</w:t>
      </w:r>
    </w:p>
    <w:p>
      <w:pPr>
        <w:jc w:val="center"/>
      </w:pPr>
      <w:r>
        <w:rPr>
          <w:b/>
          <w:color w:val="2F5597"/>
          <w:sz w:val="22"/>
        </w:rPr>
        <w:t>MANUAL DEL ALUMNO</w:t>
      </w:r>
    </w:p>
    <w:p/>
    <w:tbl>
      <w:tblPr>
        <w:tblW w:type="auto" w:w="0"/>
        <w:jc w:val="center"/>
        <w:tblLook w:firstColumn="1" w:firstRow="1" w:lastColumn="0" w:lastRow="0" w:noHBand="0" w:noVBand="1" w:val="04A0"/>
      </w:tblPr>
      <w:tblGrid>
        <w:gridCol w:w="10368"/>
      </w:tblGrid>
      <w:tr>
        <w:tc>
          <w:tcPr>
            <w:tcW w:type="dxa" w:w="10368"/>
            <w:shd w:fill="EAF0F7"/>
            <w:tcMar>
              <w:top w:w="140" w:type="dxa"/>
              <w:start w:w="150" w:type="dxa"/>
              <w:bottom w:w="140" w:type="dxa"/>
              <w:end w:w="150" w:type="dxa"/>
            </w:tcMar>
          </w:tcPr>
          <w:p>
            <w:r>
              <w:rPr>
                <w:b/>
                <w:color w:val="17365D"/>
                <w:sz w:val="20"/>
              </w:rPr>
              <w:t>Pregunta guía</w:t>
              <w:br/>
            </w:r>
            <w:r>
              <w:rPr>
                <w:sz w:val="18"/>
              </w:rPr>
              <w:t>Ya identificamos qué puede salir mal en SecureCampus. Ahora debemos decidir: ¿en qué momento del ciclo de vida debemos actuar para prevenir, detectar o responder?</w:t>
            </w:r>
          </w:p>
        </w:tc>
      </w:tr>
    </w:tbl>
    <w:p>
      <w:pPr>
        <w:pStyle w:val="Heading1"/>
      </w:pPr>
      <w:r>
        <w:t>1. Objetivo</w:t>
      </w:r>
    </w:p>
    <w:p>
      <w:r>
        <w:t>Relacionar riesgos y controles de SecureCampus con las fases del SDLC, distinguiendo Secure SDLC, Security by Design, Security by Default y Shift Left.</w:t>
      </w:r>
    </w:p>
    <w:p>
      <w:pPr>
        <w:pStyle w:val="Heading1"/>
      </w:pPr>
      <w:r>
        <w:t>2. Resultados de aprendizaje</w:t>
      </w:r>
    </w:p>
    <w:p>
      <w:pPr>
        <w:pStyle w:val="ListBullet"/>
        <w:spacing w:after="40"/>
      </w:pPr>
      <w:r>
        <w:t>Ubicar actividades de seguridad en Requisitos, Diseño, Desarrollo, Pruebas, Despliegue y Operación/Mantenimiento.</w:t>
      </w:r>
    </w:p>
    <w:p>
      <w:pPr>
        <w:pStyle w:val="ListBullet"/>
        <w:spacing w:after="40"/>
      </w:pPr>
      <w:r>
        <w:t>Proponer controles preventivos, detectivos y correctivos para casos concretos.</w:t>
      </w:r>
    </w:p>
    <w:p>
      <w:pPr>
        <w:pStyle w:val="ListBullet"/>
        <w:spacing w:after="40"/>
      </w:pPr>
      <w:r>
        <w:t>Explicar por qué seguridad no es una fase final.</w:t>
      </w:r>
    </w:p>
    <w:p>
      <w:pPr>
        <w:pStyle w:val="ListBullet"/>
        <w:spacing w:after="40"/>
      </w:pPr>
      <w:r>
        <w:t>Generar evidencia técnica versionada en GitHub.</w:t>
      </w:r>
    </w:p>
    <w:p>
      <w:pPr>
        <w:pStyle w:val="Heading1"/>
      </w:pPr>
      <w:r>
        <w:t>3. Conocimientos previos</w:t>
      </w:r>
    </w:p>
    <w:p>
      <w:pPr>
        <w:pStyle w:val="ListBullet"/>
        <w:spacing w:after="40"/>
      </w:pPr>
      <w:r>
        <w:t>Activo, amenaza, vulnerabilidad, ataque, impacto, riesgo y control.</w:t>
      </w:r>
    </w:p>
    <w:p>
      <w:pPr>
        <w:pStyle w:val="ListBullet"/>
        <w:spacing w:after="40"/>
      </w:pPr>
      <w:r>
        <w:t>Autenticación vs. autorización.</w:t>
      </w:r>
    </w:p>
    <w:p>
      <w:pPr>
        <w:pStyle w:val="ListBullet"/>
        <w:spacing w:after="40"/>
      </w:pPr>
      <w:r>
        <w:t>Flujo básico Git/GitHub de Práctica 0 y SC-LAB-001.</w:t>
      </w:r>
    </w:p>
    <w:p>
      <w:pPr>
        <w:pStyle w:val="Heading1"/>
      </w:pPr>
      <w:r>
        <w:t>4. Recordatorio: SDLC</w:t>
      </w:r>
    </w:p>
    <w:p>
      <w:r>
        <w:t>Requisitos → Diseño → Desarrollo → Pruebas → Despliegue → Operación/Mantenimiento</w:t>
      </w:r>
    </w:p>
    <w:tbl>
      <w:tblPr>
        <w:tblW w:type="auto" w:w="0"/>
        <w:jc w:val="center"/>
        <w:tblLook w:firstColumn="1" w:firstRow="1" w:lastColumn="0" w:lastRow="0" w:noHBand="0" w:noVBand="1" w:val="04A0"/>
      </w:tblPr>
      <w:tblGrid>
        <w:gridCol w:w="10368"/>
      </w:tblGrid>
      <w:tr>
        <w:tc>
          <w:tcPr>
            <w:tcW w:type="dxa" w:w="10368"/>
            <w:shd w:fill="EAF0F7"/>
            <w:tcMar>
              <w:top w:w="140" w:type="dxa"/>
              <w:start w:w="150" w:type="dxa"/>
              <w:bottom w:w="140" w:type="dxa"/>
              <w:end w:w="150" w:type="dxa"/>
            </w:tcMar>
          </w:tcPr>
          <w:p>
            <w:r>
              <w:rPr>
                <w:b/>
                <w:color w:val="17365D"/>
                <w:sz w:val="20"/>
              </w:rPr>
              <w:t>Regla de trabajo</w:t>
              <w:br/>
            </w:r>
            <w:r>
              <w:rPr>
                <w:sz w:val="18"/>
              </w:rPr>
              <w:t>No busques una única fase «correcta». Un mismo riesgo puede requerir controles diferentes a lo largo de varias fases.</w:t>
            </w:r>
          </w:p>
        </w:tc>
      </w:tr>
    </w:tbl>
    <w:p>
      <w:pPr>
        <w:pStyle w:val="Heading1"/>
      </w:pPr>
      <w:r>
        <w:t>5. Actividad guiada · Calificaciones</w:t>
      </w:r>
    </w:p>
    <w:p>
      <w:r>
        <w:t>Caso: un estudiante autenticado puede cambiar /calificaciones/125 por /calificaciones/126 y consultar calificaciones ajenas.</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7365D"/>
            <w:vAlign w:val="center"/>
            <w:tcMar>
              <w:top w:w="90" w:type="dxa"/>
              <w:start w:w="90" w:type="dxa"/>
              <w:bottom w:w="90" w:type="dxa"/>
              <w:end w:w="90" w:type="dxa"/>
            </w:tcMar>
          </w:tcPr>
          <w:p>
            <w:r/>
            <w:r>
              <w:rPr>
                <w:b/>
                <w:color w:val="FFFFFF"/>
                <w:sz w:val="16"/>
              </w:rPr>
              <w:t>Fase</w:t>
            </w:r>
          </w:p>
        </w:tc>
        <w:tc>
          <w:tcPr>
            <w:tcW w:type="dxa" w:w="4320"/>
            <w:shd w:fill="17365D"/>
            <w:vAlign w:val="center"/>
            <w:tcMar>
              <w:top w:w="90" w:type="dxa"/>
              <w:start w:w="90" w:type="dxa"/>
              <w:bottom w:w="90" w:type="dxa"/>
              <w:end w:w="90" w:type="dxa"/>
            </w:tcMar>
          </w:tcPr>
          <w:p>
            <w:r/>
            <w:r>
              <w:rPr>
                <w:b/>
                <w:color w:val="FFFFFF"/>
                <w:sz w:val="16"/>
              </w:rPr>
              <w:t>¿Qué debería hacerse?</w:t>
            </w:r>
          </w:p>
        </w:tc>
        <w:tc>
          <w:tcPr>
            <w:tcW w:type="dxa" w:w="3168"/>
            <w:shd w:fill="17365D"/>
            <w:vAlign w:val="center"/>
            <w:tcMar>
              <w:top w:w="90" w:type="dxa"/>
              <w:start w:w="90" w:type="dxa"/>
              <w:bottom w:w="90" w:type="dxa"/>
              <w:end w:w="90" w:type="dxa"/>
            </w:tcMar>
          </w:tcPr>
          <w:p>
            <w:r/>
            <w:r>
              <w:rPr>
                <w:b/>
                <w:color w:val="FFFFFF"/>
                <w:sz w:val="16"/>
              </w:rPr>
              <w:t>Control / evidencia</w:t>
            </w:r>
          </w:p>
        </w:tc>
      </w:tr>
      <w:tr>
        <w:tc>
          <w:tcPr>
            <w:tcW w:type="dxa" w:w="2160"/>
            <w:vAlign w:val="center"/>
            <w:tcMar>
              <w:top w:w="90" w:type="dxa"/>
              <w:start w:w="90" w:type="dxa"/>
              <w:bottom w:w="90" w:type="dxa"/>
              <w:end w:w="90" w:type="dxa"/>
            </w:tcMar>
          </w:tcPr>
          <w:p>
            <w:r/>
            <w:r>
              <w:rPr>
                <w:b w:val="0"/>
                <w:color w:val="1F2937"/>
                <w:sz w:val="16"/>
              </w:rPr>
              <w:t>Requisitos</w:t>
            </w:r>
          </w:p>
        </w:tc>
        <w:tc>
          <w:tcPr>
            <w:tcW w:type="dxa" w:w="4320"/>
            <w:vAlign w:val="center"/>
            <w:tcMar>
              <w:top w:w="90" w:type="dxa"/>
              <w:start w:w="90" w:type="dxa"/>
              <w:bottom w:w="90" w:type="dxa"/>
              <w:end w:w="90" w:type="dxa"/>
            </w:tcMar>
          </w:tcPr>
          <w:p>
            <w:r>
              <w:t>Escribir el alcance como una regla de negocio explícita y verificable: "un estudiante consulta únicamente las calificaciones asociadas a su propia matrícula; cualquier otra solicitud se rechaza con 403". Definir también qué roles pueden ver calificaciones ajenas y bajo qué relación (profesor del grupo, en el periodo vigente).</w:t>
            </w:r>
            <w:r>
              <w:rPr>
                <w:b w:val="0"/>
                <w:color w:val="1F2937"/>
                <w:sz w:val="16"/>
              </w:rPr>
            </w:r>
          </w:p>
        </w:tc>
        <w:tc>
          <w:tcPr>
            <w:tcW w:type="dxa" w:w="3168"/>
            <w:vAlign w:val="center"/>
            <w:tcMar>
              <w:top w:w="90" w:type="dxa"/>
              <w:start w:w="90" w:type="dxa"/>
              <w:bottom w:w="90" w:type="dxa"/>
              <w:end w:w="90" w:type="dxa"/>
            </w:tcMar>
          </w:tcPr>
          <w:p>
            <w:r>
              <w:t>Criterio de aceptación de seguridad en la historia de usuario, con su caso negativo redactado. Evidencia: la historia en el backlog contiene el caso "acceso a matrícula ajena → 403".</w:t>
            </w:r>
            <w:r>
              <w:rPr>
                <w:b w:val="0"/>
                <w:color w:val="1F2937"/>
                <w:sz w:val="16"/>
              </w:rPr>
            </w:r>
          </w:p>
        </w:tc>
      </w:tr>
      <w:tr>
        <w:tc>
          <w:tcPr>
            <w:tcW w:type="dxa" w:w="2160"/>
            <w:vAlign w:val="center"/>
            <w:tcMar>
              <w:top w:w="90" w:type="dxa"/>
              <w:start w:w="90" w:type="dxa"/>
              <w:bottom w:w="90" w:type="dxa"/>
              <w:end w:w="90" w:type="dxa"/>
            </w:tcMar>
          </w:tcPr>
          <w:p>
            <w:r/>
            <w:r>
              <w:rPr>
                <w:b w:val="0"/>
                <w:color w:val="1F2937"/>
                <w:sz w:val="16"/>
              </w:rPr>
              <w:t>Diseño</w:t>
            </w:r>
          </w:p>
        </w:tc>
        <w:tc>
          <w:tcPr>
            <w:tcW w:type="dxa" w:w="4320"/>
            <w:vAlign w:val="center"/>
            <w:tcMar>
              <w:top w:w="90" w:type="dxa"/>
              <w:start w:w="90" w:type="dxa"/>
              <w:bottom w:w="90" w:type="dxa"/>
              <w:end w:w="90" w:type="dxa"/>
            </w:tcMar>
          </w:tcPr>
          <w:p>
            <w:r>
              <w:t>Decidir que el acceso a calificaciones se resuelve por la relación usuario↔recurso y no por el rol. Modelar la consulta como "dame las calificaciones de este alumno para este solicitante", de modo que no exista una firma que permita pedir un registro sin decir quién lo pide. Sustituir identificadores secuenciales por identificadores opacos como defensa en profundidad.</w:t>
            </w:r>
            <w:r>
              <w:rPr>
                <w:b w:val="0"/>
                <w:color w:val="1F2937"/>
                <w:sz w:val="16"/>
              </w:rPr>
            </w:r>
          </w:p>
        </w:tc>
        <w:tc>
          <w:tcPr>
            <w:tcW w:type="dxa" w:w="3168"/>
            <w:vAlign w:val="center"/>
            <w:tcMar>
              <w:top w:w="90" w:type="dxa"/>
              <w:start w:w="90" w:type="dxa"/>
              <w:bottom w:w="90" w:type="dxa"/>
              <w:end w:w="90" w:type="dxa"/>
            </w:tcMar>
          </w:tcPr>
          <w:p>
            <w:r>
              <w:t>Diagrama de flujo de autorización y modelo de datos con la relación explícita. Decisión de arquitectura registrada (ADR). Evidencia: el diseño no contiene ningún camino de lectura que omita el contexto del solicitante.</w:t>
            </w:r>
            <w:r>
              <w:rPr>
                <w:b w:val="0"/>
                <w:color w:val="1F2937"/>
                <w:sz w:val="16"/>
              </w:rPr>
            </w:r>
          </w:p>
        </w:tc>
      </w:tr>
      <w:tr>
        <w:tc>
          <w:tcPr>
            <w:tcW w:type="dxa" w:w="2160"/>
            <w:vAlign w:val="center"/>
            <w:tcMar>
              <w:top w:w="90" w:type="dxa"/>
              <w:start w:w="90" w:type="dxa"/>
              <w:bottom w:w="90" w:type="dxa"/>
              <w:end w:w="90" w:type="dxa"/>
            </w:tcMar>
          </w:tcPr>
          <w:p>
            <w:r/>
            <w:r>
              <w:rPr>
                <w:b w:val="0"/>
                <w:color w:val="1F2937"/>
                <w:sz w:val="16"/>
              </w:rPr>
              <w:t>Desarrollo</w:t>
            </w:r>
          </w:p>
        </w:tc>
        <w:tc>
          <w:tcPr>
            <w:tcW w:type="dxa" w:w="4320"/>
            <w:vAlign w:val="center"/>
            <w:tcMar>
              <w:top w:w="90" w:type="dxa"/>
              <w:start w:w="90" w:type="dxa"/>
              <w:bottom w:w="90" w:type="dxa"/>
              <w:end w:w="90" w:type="dxa"/>
            </w:tcMar>
          </w:tcPr>
          <w:p>
            <w:r>
              <w:t>Implementar la verificación en el servidor y en cada petición, dentro de la capa de acceso a datos y no en cada controlador. Aplicar deny by default. Prohibir en revisión de código cualquier consulta que reciba un identificador del cliente y lo use sin filtrar por el usuario de la sesión.</w:t>
            </w:r>
            <w:r>
              <w:rPr>
                <w:b w:val="0"/>
                <w:color w:val="1F2937"/>
                <w:sz w:val="16"/>
              </w:rPr>
            </w:r>
          </w:p>
        </w:tc>
        <w:tc>
          <w:tcPr>
            <w:tcW w:type="dxa" w:w="3168"/>
            <w:vAlign w:val="center"/>
            <w:tcMar>
              <w:top w:w="90" w:type="dxa"/>
              <w:start w:w="90" w:type="dxa"/>
              <w:bottom w:w="90" w:type="dxa"/>
              <w:end w:w="90" w:type="dxa"/>
            </w:tcMar>
          </w:tcPr>
          <w:p>
            <w:r>
              <w:t>Código de la capa de autorización + checklist de revisión de PR con el punto "¿esta consulta filtra por el usuario de la sesión?". Evidencia: el PR con la verificación y su revisión aprobada.</w:t>
            </w:r>
            <w:r>
              <w:rPr>
                <w:b w:val="0"/>
                <w:color w:val="1F2937"/>
                <w:sz w:val="16"/>
              </w:rPr>
            </w:r>
          </w:p>
        </w:tc>
      </w:tr>
      <w:tr>
        <w:tc>
          <w:tcPr>
            <w:tcW w:type="dxa" w:w="2160"/>
            <w:vAlign w:val="center"/>
            <w:tcMar>
              <w:top w:w="90" w:type="dxa"/>
              <w:start w:w="90" w:type="dxa"/>
              <w:bottom w:w="90" w:type="dxa"/>
              <w:end w:w="90" w:type="dxa"/>
            </w:tcMar>
          </w:tcPr>
          <w:p>
            <w:r/>
            <w:r>
              <w:rPr>
                <w:b w:val="0"/>
                <w:color w:val="1F2937"/>
                <w:sz w:val="16"/>
              </w:rPr>
              <w:t>Pruebas</w:t>
            </w:r>
          </w:p>
        </w:tc>
        <w:tc>
          <w:tcPr>
            <w:tcW w:type="dxa" w:w="4320"/>
            <w:vAlign w:val="center"/>
            <w:tcMar>
              <w:top w:w="90" w:type="dxa"/>
              <w:start w:w="90" w:type="dxa"/>
              <w:bottom w:w="90" w:type="dxa"/>
              <w:end w:w="90" w:type="dxa"/>
            </w:tcMar>
          </w:tcPr>
          <w:p>
            <w:r>
              <w:t>Escribir pruebas automatizadas del caso negativo, no solo del feliz: el estudiante A pide las calificaciones de B y debe recibir 403. Incluir la variante de enumeración (recorrer un rango de identificadores) y la prueba del rol profesor sobre un grupo ajeno. Integrarlas al pipeline para que un futuro cambio que rompa la regla haga fallar la build.</w:t>
            </w:r>
            <w:r>
              <w:rPr>
                <w:b w:val="0"/>
                <w:color w:val="1F2937"/>
                <w:sz w:val="16"/>
              </w:rPr>
            </w:r>
          </w:p>
        </w:tc>
        <w:tc>
          <w:tcPr>
            <w:tcW w:type="dxa" w:w="3168"/>
            <w:vAlign w:val="center"/>
            <w:tcMar>
              <w:top w:w="90" w:type="dxa"/>
              <w:start w:w="90" w:type="dxa"/>
              <w:bottom w:w="90" w:type="dxa"/>
              <w:end w:w="90" w:type="dxa"/>
            </w:tcMar>
          </w:tcPr>
          <w:p>
            <w:r>
              <w:t>Suite de pruebas de autorización en CI. Evidencia: el reporte del pipeline mostrando las pruebas negativas en verde, y la build roja cuando se desactiva la verificación a propósito.</w:t>
            </w:r>
            <w:r>
              <w:rPr>
                <w:b w:val="0"/>
                <w:color w:val="1F2937"/>
                <w:sz w:val="16"/>
              </w:rPr>
            </w:r>
          </w:p>
        </w:tc>
      </w:tr>
      <w:tr>
        <w:tc>
          <w:tcPr>
            <w:tcW w:type="dxa" w:w="2160"/>
            <w:vAlign w:val="center"/>
            <w:tcMar>
              <w:top w:w="90" w:type="dxa"/>
              <w:start w:w="90" w:type="dxa"/>
              <w:bottom w:w="90" w:type="dxa"/>
              <w:end w:w="90" w:type="dxa"/>
            </w:tcMar>
          </w:tcPr>
          <w:p>
            <w:r/>
            <w:r>
              <w:rPr>
                <w:b w:val="0"/>
                <w:color w:val="1F2937"/>
                <w:sz w:val="16"/>
              </w:rPr>
              <w:t>Despliegue</w:t>
            </w:r>
          </w:p>
        </w:tc>
        <w:tc>
          <w:tcPr>
            <w:tcW w:type="dxa" w:w="4320"/>
            <w:vAlign w:val="center"/>
            <w:tcMar>
              <w:top w:w="90" w:type="dxa"/>
              <w:start w:w="90" w:type="dxa"/>
              <w:bottom w:w="90" w:type="dxa"/>
              <w:end w:w="90" w:type="dxa"/>
            </w:tcMar>
          </w:tcPr>
          <w:p>
            <w:r>
              <w:t>Endurecer el entorno para que un fallo no se amplifique: errores genéricos sin trazas ni detalles de la consulta, desactivar el modo depuración, HTTPS obligatorio con HSTS, cabeceras de seguridad, y separación real entre datos de prueba y datos reales. Verificar que la configuración de producción no relaje la política de autorización.</w:t>
            </w:r>
            <w:r>
              <w:rPr>
                <w:b w:val="0"/>
                <w:color w:val="1F2937"/>
                <w:sz w:val="16"/>
              </w:rPr>
            </w:r>
          </w:p>
        </w:tc>
        <w:tc>
          <w:tcPr>
            <w:tcW w:type="dxa" w:w="3168"/>
            <w:vAlign w:val="center"/>
            <w:tcMar>
              <w:top w:w="90" w:type="dxa"/>
              <w:start w:w="90" w:type="dxa"/>
              <w:bottom w:w="90" w:type="dxa"/>
              <w:end w:w="90" w:type="dxa"/>
            </w:tcMar>
          </w:tcPr>
          <w:p>
            <w:r>
              <w:t>Configuración de producción versionada (infraestructura como código) y checklist de endurecimiento firmado. Evidencia: el archivo de configuración en el repositorio y el resultado del escaneo de configuración.</w:t>
            </w:r>
            <w:r>
              <w:rPr>
                <w:b w:val="0"/>
                <w:color w:val="1F2937"/>
                <w:sz w:val="16"/>
              </w:rPr>
            </w:r>
          </w:p>
        </w:tc>
      </w:tr>
      <w:tr>
        <w:tc>
          <w:tcPr>
            <w:tcW w:type="dxa" w:w="2160"/>
            <w:vAlign w:val="center"/>
            <w:tcMar>
              <w:top w:w="90" w:type="dxa"/>
              <w:start w:w="90" w:type="dxa"/>
              <w:bottom w:w="90" w:type="dxa"/>
              <w:end w:w="90" w:type="dxa"/>
            </w:tcMar>
          </w:tcPr>
          <w:p>
            <w:r/>
            <w:r>
              <w:rPr>
                <w:b w:val="0"/>
                <w:color w:val="1F2937"/>
                <w:sz w:val="16"/>
              </w:rPr>
              <w:t>Operación/Mantenimiento</w:t>
            </w:r>
          </w:p>
        </w:tc>
        <w:tc>
          <w:tcPr>
            <w:tcW w:type="dxa" w:w="4320"/>
            <w:vAlign w:val="center"/>
            <w:tcMar>
              <w:top w:w="90" w:type="dxa"/>
              <w:start w:w="90" w:type="dxa"/>
              <w:bottom w:w="90" w:type="dxa"/>
              <w:end w:w="90" w:type="dxa"/>
            </w:tcMar>
          </w:tcPr>
          <w:p>
            <w:r>
              <w:t>Registrar cada acceso denegado y alertar ante ráfagas de 403 de un mismo usuario o de un mismo origen — es la firma de alguien enumerando. Revisar periódicamente los logs, mantener la suite de pruebas viva cuando el módulo cambie, y definir un procedimiento de respuesta si se confirma una fuga.</w:t>
            </w:r>
            <w:r>
              <w:rPr>
                <w:b w:val="0"/>
                <w:color w:val="1F2937"/>
                <w:sz w:val="16"/>
              </w:rPr>
            </w:r>
          </w:p>
        </w:tc>
        <w:tc>
          <w:tcPr>
            <w:tcW w:type="dxa" w:w="3168"/>
            <w:vAlign w:val="center"/>
            <w:tcMar>
              <w:top w:w="90" w:type="dxa"/>
              <w:start w:w="90" w:type="dxa"/>
              <w:bottom w:w="90" w:type="dxa"/>
              <w:end w:w="90" w:type="dxa"/>
            </w:tcMar>
          </w:tcPr>
          <w:p>
            <w:r>
              <w:t>Log append-only de accesos denegados, regla de alerta configurada y bitácora de revisión. Evidencia: captura de la alerta disparándose en una prueba controlada.</w:t>
            </w:r>
            <w:r>
              <w:rPr>
                <w:b w:val="0"/>
                <w:color w:val="1F2937"/>
                <w:sz w:val="16"/>
              </w:rPr>
            </w:r>
          </w:p>
        </w:tc>
      </w:tr>
    </w:tbl>
    <w:p>
      <w:pPr>
        <w:pStyle w:val="Heading1"/>
      </w:pPr>
      <w:r>
        <w:t>6. Reto por equipo</w:t>
      </w:r>
    </w:p>
    <w:p>
      <w:r>
        <w:t>Analicen los cuatro escenarios. Para cada uno, propongan al menos un control temprano y un control posterior.</w:t>
      </w:r>
    </w:p>
    <w:tbl>
      <w:tblPr>
        <w:tblStyle w:val="TableGrid"/>
        <w:tblW w:type="auto" w:w="0"/>
        <w:jc w:val="center"/>
        <w:tblLook w:firstColumn="1" w:firstRow="1" w:lastColumn="0" w:lastRow="0" w:noHBand="0" w:noVBand="1" w:val="04A0"/>
      </w:tblPr>
      <w:tblGrid>
        <w:gridCol w:w="5184"/>
        <w:gridCol w:w="5184"/>
      </w:tblGrid>
      <w:tr>
        <w:tc>
          <w:tcPr>
            <w:tcW w:type="dxa" w:w="2016"/>
            <w:shd w:fill="17365D"/>
            <w:vAlign w:val="center"/>
            <w:tcMar>
              <w:top w:w="90" w:type="dxa"/>
              <w:start w:w="90" w:type="dxa"/>
              <w:bottom w:w="90" w:type="dxa"/>
              <w:end w:w="90" w:type="dxa"/>
            </w:tcMar>
          </w:tcPr>
          <w:p>
            <w:r/>
            <w:r>
              <w:rPr>
                <w:b/>
                <w:color w:val="FFFFFF"/>
                <w:sz w:val="16"/>
              </w:rPr>
              <w:t>Escenario</w:t>
            </w:r>
          </w:p>
        </w:tc>
        <w:tc>
          <w:tcPr>
            <w:tcW w:type="dxa" w:w="7920"/>
            <w:shd w:fill="17365D"/>
            <w:vAlign w:val="center"/>
            <w:tcMar>
              <w:top w:w="90" w:type="dxa"/>
              <w:start w:w="90" w:type="dxa"/>
              <w:bottom w:w="90" w:type="dxa"/>
              <w:end w:w="90" w:type="dxa"/>
            </w:tcMar>
          </w:tcPr>
          <w:p>
            <w:r/>
            <w:r>
              <w:rPr>
                <w:b/>
                <w:color w:val="FFFFFF"/>
                <w:sz w:val="16"/>
              </w:rPr>
              <w:t>Situación</w:t>
            </w:r>
          </w:p>
        </w:tc>
      </w:tr>
      <w:tr>
        <w:tc>
          <w:tcPr>
            <w:tcW w:type="dxa" w:w="2016"/>
            <w:vAlign w:val="center"/>
            <w:tcMar>
              <w:top w:w="90" w:type="dxa"/>
              <w:start w:w="90" w:type="dxa"/>
              <w:bottom w:w="90" w:type="dxa"/>
              <w:end w:w="90" w:type="dxa"/>
            </w:tcMar>
          </w:tcPr>
          <w:p>
            <w:r/>
            <w:r>
              <w:rPr>
                <w:b w:val="0"/>
                <w:color w:val="1F2937"/>
                <w:sz w:val="16"/>
              </w:rPr>
              <w:t>A · Documentos</w:t>
            </w:r>
          </w:p>
        </w:tc>
        <w:tc>
          <w:tcPr>
            <w:tcW w:type="dxa" w:w="7920"/>
            <w:vAlign w:val="center"/>
            <w:tcMar>
              <w:top w:w="90" w:type="dxa"/>
              <w:start w:w="90" w:type="dxa"/>
              <w:bottom w:w="90" w:type="dxa"/>
              <w:end w:w="90" w:type="dxa"/>
            </w:tcMar>
          </w:tcPr>
          <w:p>
            <w:r/>
            <w:r>
              <w:rPr>
                <w:b w:val="0"/>
                <w:color w:val="1F2937"/>
                <w:sz w:val="16"/>
              </w:rPr>
              <w:t>Un estudiante intenta descargar el documento de otro usuario modificando un identificador.</w:t>
            </w:r>
          </w:p>
        </w:tc>
      </w:tr>
      <w:tr>
        <w:tc>
          <w:tcPr>
            <w:tcW w:type="dxa" w:w="2016"/>
            <w:vAlign w:val="center"/>
            <w:tcMar>
              <w:top w:w="90" w:type="dxa"/>
              <w:start w:w="90" w:type="dxa"/>
              <w:bottom w:w="90" w:type="dxa"/>
              <w:end w:w="90" w:type="dxa"/>
            </w:tcMar>
          </w:tcPr>
          <w:p>
            <w:r/>
            <w:r>
              <w:rPr>
                <w:b w:val="0"/>
                <w:color w:val="1F2937"/>
                <w:sz w:val="16"/>
              </w:rPr>
              <w:t>B · Token</w:t>
            </w:r>
          </w:p>
        </w:tc>
        <w:tc>
          <w:tcPr>
            <w:tcW w:type="dxa" w:w="7920"/>
            <w:vAlign w:val="center"/>
            <w:tcMar>
              <w:top w:w="90" w:type="dxa"/>
              <w:start w:w="90" w:type="dxa"/>
              <w:bottom w:w="90" w:type="dxa"/>
              <w:end w:w="90" w:type="dxa"/>
            </w:tcMar>
          </w:tcPr>
          <w:p>
            <w:r/>
            <w:r>
              <w:rPr>
                <w:b w:val="0"/>
                <w:color w:val="1F2937"/>
                <w:sz w:val="16"/>
              </w:rPr>
              <w:t>Un desarrollador intenta incluir un token dentro de un commit.</w:t>
            </w:r>
          </w:p>
        </w:tc>
      </w:tr>
      <w:tr>
        <w:tc>
          <w:tcPr>
            <w:tcW w:type="dxa" w:w="2016"/>
            <w:vAlign w:val="center"/>
            <w:tcMar>
              <w:top w:w="90" w:type="dxa"/>
              <w:start w:w="90" w:type="dxa"/>
              <w:bottom w:w="90" w:type="dxa"/>
              <w:end w:w="90" w:type="dxa"/>
            </w:tcMar>
          </w:tcPr>
          <w:p>
            <w:r/>
            <w:r>
              <w:rPr>
                <w:b w:val="0"/>
                <w:color w:val="1F2937"/>
                <w:sz w:val="16"/>
              </w:rPr>
              <w:t>C · Profesor</w:t>
            </w:r>
          </w:p>
        </w:tc>
        <w:tc>
          <w:tcPr>
            <w:tcW w:type="dxa" w:w="7920"/>
            <w:vAlign w:val="center"/>
            <w:tcMar>
              <w:top w:w="90" w:type="dxa"/>
              <w:start w:w="90" w:type="dxa"/>
              <w:bottom w:w="90" w:type="dxa"/>
              <w:end w:w="90" w:type="dxa"/>
            </w:tcMar>
          </w:tcPr>
          <w:p>
            <w:r/>
            <w:r>
              <w:rPr>
                <w:b w:val="0"/>
                <w:color w:val="1F2937"/>
                <w:sz w:val="16"/>
              </w:rPr>
              <w:t>Un profesor intenta modificar calificaciones de un grupo no asignado.</w:t>
            </w:r>
          </w:p>
        </w:tc>
      </w:tr>
      <w:tr>
        <w:tc>
          <w:tcPr>
            <w:tcW w:type="dxa" w:w="2016"/>
            <w:vAlign w:val="center"/>
            <w:tcMar>
              <w:top w:w="90" w:type="dxa"/>
              <w:start w:w="90" w:type="dxa"/>
              <w:bottom w:w="90" w:type="dxa"/>
              <w:end w:w="90" w:type="dxa"/>
            </w:tcMar>
          </w:tcPr>
          <w:p>
            <w:r/>
            <w:r>
              <w:rPr>
                <w:b w:val="0"/>
                <w:color w:val="1F2937"/>
                <w:sz w:val="16"/>
              </w:rPr>
              <w:t>D · Login</w:t>
            </w:r>
          </w:p>
        </w:tc>
        <w:tc>
          <w:tcPr>
            <w:tcW w:type="dxa" w:w="7920"/>
            <w:vAlign w:val="center"/>
            <w:tcMar>
              <w:top w:w="90" w:type="dxa"/>
              <w:start w:w="90" w:type="dxa"/>
              <w:bottom w:w="90" w:type="dxa"/>
              <w:end w:w="90" w:type="dxa"/>
            </w:tcMar>
          </w:tcPr>
          <w:p>
            <w:r/>
            <w:r>
              <w:rPr>
                <w:b w:val="0"/>
                <w:color w:val="1F2937"/>
                <w:sz w:val="16"/>
              </w:rPr>
              <w:t>Una cuenta registra 100 intentos fallidos de autenticación en 10 minutos.</w:t>
            </w:r>
          </w:p>
        </w:tc>
      </w:tr>
    </w:tbl>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792"/>
            <w:shd w:fill="17365D"/>
            <w:vAlign w:val="center"/>
            <w:tcMar>
              <w:top w:w="90" w:type="dxa"/>
              <w:start w:w="90" w:type="dxa"/>
              <w:bottom w:w="90" w:type="dxa"/>
              <w:end w:w="90" w:type="dxa"/>
            </w:tcMar>
          </w:tcPr>
          <w:p>
            <w:r/>
            <w:r>
              <w:rPr>
                <w:b/>
                <w:color w:val="FFFFFF"/>
                <w:sz w:val="14"/>
              </w:rPr>
              <w:t>Esc.</w:t>
            </w:r>
          </w:p>
        </w:tc>
        <w:tc>
          <w:tcPr>
            <w:tcW w:type="dxa" w:w="1440"/>
            <w:shd w:fill="17365D"/>
            <w:vAlign w:val="center"/>
            <w:tcMar>
              <w:top w:w="90" w:type="dxa"/>
              <w:start w:w="90" w:type="dxa"/>
              <w:bottom w:w="90" w:type="dxa"/>
              <w:end w:w="90" w:type="dxa"/>
            </w:tcMar>
          </w:tcPr>
          <w:p>
            <w:r/>
            <w:r>
              <w:rPr>
                <w:b/>
                <w:color w:val="FFFFFF"/>
                <w:sz w:val="14"/>
              </w:rPr>
              <w:t>Requisitos</w:t>
            </w:r>
          </w:p>
        </w:tc>
        <w:tc>
          <w:tcPr>
            <w:tcW w:type="dxa" w:w="1440"/>
            <w:shd w:fill="17365D"/>
            <w:vAlign w:val="center"/>
            <w:tcMar>
              <w:top w:w="90" w:type="dxa"/>
              <w:start w:w="90" w:type="dxa"/>
              <w:bottom w:w="90" w:type="dxa"/>
              <w:end w:w="90" w:type="dxa"/>
            </w:tcMar>
          </w:tcPr>
          <w:p>
            <w:r/>
            <w:r>
              <w:rPr>
                <w:b/>
                <w:color w:val="FFFFFF"/>
                <w:sz w:val="14"/>
              </w:rPr>
              <w:t>Diseño</w:t>
            </w:r>
          </w:p>
        </w:tc>
        <w:tc>
          <w:tcPr>
            <w:tcW w:type="dxa" w:w="1440"/>
            <w:shd w:fill="17365D"/>
            <w:vAlign w:val="center"/>
            <w:tcMar>
              <w:top w:w="90" w:type="dxa"/>
              <w:start w:w="90" w:type="dxa"/>
              <w:bottom w:w="90" w:type="dxa"/>
              <w:end w:w="90" w:type="dxa"/>
            </w:tcMar>
          </w:tcPr>
          <w:p>
            <w:r/>
            <w:r>
              <w:rPr>
                <w:b/>
                <w:color w:val="FFFFFF"/>
                <w:sz w:val="14"/>
              </w:rPr>
              <w:t>Desarrollo</w:t>
            </w:r>
          </w:p>
        </w:tc>
        <w:tc>
          <w:tcPr>
            <w:tcW w:type="dxa" w:w="1440"/>
            <w:shd w:fill="17365D"/>
            <w:vAlign w:val="center"/>
            <w:tcMar>
              <w:top w:w="90" w:type="dxa"/>
              <w:start w:w="90" w:type="dxa"/>
              <w:bottom w:w="90" w:type="dxa"/>
              <w:end w:w="90" w:type="dxa"/>
            </w:tcMar>
          </w:tcPr>
          <w:p>
            <w:r/>
            <w:r>
              <w:rPr>
                <w:b/>
                <w:color w:val="FFFFFF"/>
                <w:sz w:val="14"/>
              </w:rPr>
              <w:t>Pruebas</w:t>
            </w:r>
          </w:p>
        </w:tc>
        <w:tc>
          <w:tcPr>
            <w:tcW w:type="dxa" w:w="1440"/>
            <w:shd w:fill="17365D"/>
            <w:vAlign w:val="center"/>
            <w:tcMar>
              <w:top w:w="90" w:type="dxa"/>
              <w:start w:w="90" w:type="dxa"/>
              <w:bottom w:w="90" w:type="dxa"/>
              <w:end w:w="90" w:type="dxa"/>
            </w:tcMar>
          </w:tcPr>
          <w:p>
            <w:r/>
            <w:r>
              <w:rPr>
                <w:b/>
                <w:color w:val="FFFFFF"/>
                <w:sz w:val="14"/>
              </w:rPr>
              <w:t>Despliegue</w:t>
            </w:r>
          </w:p>
        </w:tc>
        <w:tc>
          <w:tcPr>
            <w:tcW w:type="dxa" w:w="1440"/>
            <w:shd w:fill="17365D"/>
            <w:vAlign w:val="center"/>
            <w:tcMar>
              <w:top w:w="90" w:type="dxa"/>
              <w:start w:w="90" w:type="dxa"/>
              <w:bottom w:w="90" w:type="dxa"/>
              <w:end w:w="90" w:type="dxa"/>
            </w:tcMar>
          </w:tcPr>
          <w:p>
            <w:r/>
            <w:r>
              <w:rPr>
                <w:b/>
                <w:color w:val="FFFFFF"/>
                <w:sz w:val="14"/>
              </w:rPr>
              <w:t>Operación</w:t>
            </w:r>
          </w:p>
        </w:tc>
      </w:tr>
      <w:tr>
        <w:tc>
          <w:tcPr>
            <w:tcW w:type="dxa" w:w="792"/>
            <w:vAlign w:val="center"/>
            <w:tcMar>
              <w:top w:w="90" w:type="dxa"/>
              <w:start w:w="90" w:type="dxa"/>
              <w:bottom w:w="90" w:type="dxa"/>
              <w:end w:w="90" w:type="dxa"/>
            </w:tcMar>
          </w:tcPr>
          <w:p>
            <w:r/>
            <w:r>
              <w:rPr>
                <w:b w:val="0"/>
                <w:color w:val="1F2937"/>
                <w:sz w:val="14"/>
              </w:rPr>
              <w:t>A</w:t>
            </w:r>
          </w:p>
        </w:tc>
        <w:tc>
          <w:tcPr>
            <w:tcW w:type="dxa" w:w="1440"/>
            <w:vAlign w:val="center"/>
            <w:tcMar>
              <w:top w:w="90" w:type="dxa"/>
              <w:start w:w="90" w:type="dxa"/>
              <w:bottom w:w="90" w:type="dxa"/>
              <w:end w:w="90" w:type="dxa"/>
            </w:tcMar>
          </w:tcPr>
          <w:p>
            <w:r>
              <w:t>🟢 Temprano. Regla de propiedad del documento; prohibir directorio público.</w:t>
            </w:r>
            <w:r>
              <w:rPr>
                <w:b w:val="0"/>
                <w:color w:val="1F2937"/>
                <w:sz w:val="14"/>
              </w:rPr>
            </w:r>
          </w:p>
        </w:tc>
        <w:tc>
          <w:tcPr>
            <w:tcW w:type="dxa" w:w="1440"/>
            <w:vAlign w:val="center"/>
            <w:tcMar>
              <w:top w:w="90" w:type="dxa"/>
              <w:start w:w="90" w:type="dxa"/>
              <w:bottom w:w="90" w:type="dxa"/>
              <w:end w:w="90" w:type="dxa"/>
            </w:tcMar>
          </w:tcPr>
          <w:p>
            <w:r>
              <w:t>Entrega mediada desde almacén privado; nombres de archivo aleatorios.</w:t>
            </w:r>
            <w:r>
              <w:rPr>
                <w:b w:val="0"/>
                <w:color w:val="1F2937"/>
                <w:sz w:val="14"/>
              </w:rPr>
            </w:r>
          </w:p>
        </w:tc>
        <w:tc>
          <w:tcPr>
            <w:tcW w:type="dxa" w:w="1440"/>
            <w:vAlign w:val="center"/>
            <w:tcMar>
              <w:top w:w="90" w:type="dxa"/>
              <w:start w:w="90" w:type="dxa"/>
              <w:bottom w:w="90" w:type="dxa"/>
              <w:end w:w="90" w:type="dxa"/>
            </w:tcMar>
          </w:tcPr>
          <w:p>
            <w:r>
              <w:t>Verificación de propiedad, magic bytes, límite de tamaño y cuota.</w:t>
            </w:r>
            <w:r>
              <w:rPr>
                <w:b w:val="0"/>
                <w:color w:val="1F2937"/>
                <w:sz w:val="14"/>
              </w:rPr>
            </w:r>
          </w:p>
        </w:tc>
        <w:tc>
          <w:tcPr>
            <w:tcW w:type="dxa" w:w="1440"/>
            <w:vAlign w:val="center"/>
            <w:tcMar>
              <w:top w:w="90" w:type="dxa"/>
              <w:start w:w="90" w:type="dxa"/>
              <w:bottom w:w="90" w:type="dxa"/>
              <w:end w:w="90" w:type="dxa"/>
            </w:tcMar>
          </w:tcPr>
          <w:p>
            <w:r>
              <w:t>Negativas: descarga ajena (403), ruta directa (404), ejecutable renombrado, límites.</w:t>
            </w:r>
            <w:r>
              <w:rPr>
                <w:b w:val="0"/>
                <w:color w:val="1F2937"/>
                <w:sz w:val="14"/>
              </w:rPr>
            </w:r>
          </w:p>
        </w:tc>
        <w:tc>
          <w:tcPr>
            <w:tcW w:type="dxa" w:w="1440"/>
            <w:vAlign w:val="center"/>
            <w:tcMar>
              <w:top w:w="90" w:type="dxa"/>
              <w:start w:w="90" w:type="dxa"/>
              <w:bottom w:w="90" w:type="dxa"/>
              <w:end w:w="90" w:type="dxa"/>
            </w:tcMar>
          </w:tcPr>
          <w:p>
            <w:r>
              <w:t>Servidor no publica el directorio; permisos restrictivos; antivirus activo.</w:t>
            </w:r>
            <w:r>
              <w:rPr>
                <w:b w:val="0"/>
                <w:color w:val="1F2937"/>
                <w:sz w:val="14"/>
              </w:rPr>
            </w:r>
          </w:p>
        </w:tc>
        <w:tc>
          <w:tcPr>
            <w:tcW w:type="dxa" w:w="1440"/>
            <w:vAlign w:val="center"/>
            <w:tcMar>
              <w:top w:w="90" w:type="dxa"/>
              <w:start w:w="90" w:type="dxa"/>
              <w:bottom w:w="90" w:type="dxa"/>
              <w:end w:w="90" w:type="dxa"/>
            </w:tcMar>
          </w:tcPr>
          <w:p>
            <w:r>
              <w:t>🔵 Posterior. Log de descargas y alertas; reescaneo antivirus periódico.</w:t>
            </w:r>
            <w:r>
              <w:rPr>
                <w:b w:val="0"/>
                <w:color w:val="1F2937"/>
                <w:sz w:val="14"/>
              </w:rPr>
            </w:r>
          </w:p>
        </w:tc>
      </w:tr>
      <w:tr>
        <w:tc>
          <w:tcPr>
            <w:tcW w:type="dxa" w:w="792"/>
            <w:vAlign w:val="center"/>
            <w:tcMar>
              <w:top w:w="90" w:type="dxa"/>
              <w:start w:w="90" w:type="dxa"/>
              <w:bottom w:w="90" w:type="dxa"/>
              <w:end w:w="90" w:type="dxa"/>
            </w:tcMar>
          </w:tcPr>
          <w:p>
            <w:r/>
            <w:r>
              <w:rPr>
                <w:b w:val="0"/>
                <w:color w:val="1F2937"/>
                <w:sz w:val="14"/>
              </w:rPr>
              <w:t>B</w:t>
            </w:r>
          </w:p>
        </w:tc>
        <w:tc>
          <w:tcPr>
            <w:tcW w:type="dxa" w:w="1440"/>
            <w:vAlign w:val="center"/>
            <w:tcMar>
              <w:top w:w="90" w:type="dxa"/>
              <w:start w:w="90" w:type="dxa"/>
              <w:bottom w:w="90" w:type="dxa"/>
              <w:end w:w="90" w:type="dxa"/>
            </w:tcMar>
          </w:tcPr>
          <w:p>
            <w:r>
              <w:t>🟢 Temprano. Política de gestión de secretos: ningún secreto en el repo.</w:t>
            </w:r>
            <w:r>
              <w:rPr>
                <w:b w:val="0"/>
                <w:color w:val="1F2937"/>
                <w:sz w:val="14"/>
              </w:rPr>
            </w:r>
          </w:p>
        </w:tc>
        <w:tc>
          <w:tcPr>
            <w:tcW w:type="dxa" w:w="1440"/>
            <w:vAlign w:val="center"/>
            <w:tcMar>
              <w:top w:w="90" w:type="dxa"/>
              <w:start w:w="90" w:type="dxa"/>
              <w:bottom w:w="90" w:type="dxa"/>
              <w:end w:w="90" w:type="dxa"/>
            </w:tcMar>
          </w:tcPr>
          <w:p>
            <w:r>
              <w:t>Config. separada del código; falla ruidosa si falta variable obligatoria.</w:t>
            </w:r>
            <w:r>
              <w:rPr>
                <w:b w:val="0"/>
                <w:color w:val="1F2937"/>
                <w:sz w:val="14"/>
              </w:rPr>
            </w:r>
          </w:p>
        </w:tc>
        <w:tc>
          <w:tcPr>
            <w:tcW w:type="dxa" w:w="1440"/>
            <w:vAlign w:val="center"/>
            <w:tcMar>
              <w:top w:w="90" w:type="dxa"/>
              <w:start w:w="90" w:type="dxa"/>
              <w:bottom w:w="90" w:type="dxa"/>
              <w:end w:w="90" w:type="dxa"/>
            </w:tcMar>
          </w:tcPr>
          <w:p>
            <w:r>
              <w:t>🟢 Temprano. .gitignore desde el primer commit + hook de pre-commit.</w:t>
            </w:r>
            <w:r>
              <w:rPr>
                <w:b w:val="0"/>
                <w:color w:val="1F2937"/>
                <w:sz w:val="14"/>
              </w:rPr>
            </w:r>
          </w:p>
        </w:tc>
        <w:tc>
          <w:tcPr>
            <w:tcW w:type="dxa" w:w="1440"/>
            <w:vAlign w:val="center"/>
            <w:tcMar>
              <w:top w:w="90" w:type="dxa"/>
              <w:start w:w="90" w:type="dxa"/>
              <w:bottom w:w="90" w:type="dxa"/>
              <w:end w:w="90" w:type="dxa"/>
            </w:tcMar>
          </w:tcPr>
          <w:p>
            <w:r>
              <w:t>Escaneo de secretos en el pipeline sobre el historial completo.</w:t>
            </w:r>
            <w:r>
              <w:rPr>
                <w:b w:val="0"/>
                <w:color w:val="1F2937"/>
                <w:sz w:val="14"/>
              </w:rPr>
            </w:r>
          </w:p>
        </w:tc>
        <w:tc>
          <w:tcPr>
            <w:tcW w:type="dxa" w:w="1440"/>
            <w:vAlign w:val="center"/>
            <w:tcMar>
              <w:top w:w="90" w:type="dxa"/>
              <w:start w:w="90" w:type="dxa"/>
              <w:bottom w:w="90" w:type="dxa"/>
              <w:end w:w="90" w:type="dxa"/>
            </w:tcMar>
          </w:tcPr>
          <w:p>
            <w:r>
              <w:t>Secretos desde gestor de la plataforma; permisos mínimos, caducidad corta.</w:t>
            </w:r>
            <w:r>
              <w:rPr>
                <w:b w:val="0"/>
                <w:color w:val="1F2937"/>
                <w:sz w:val="14"/>
              </w:rPr>
            </w:r>
          </w:p>
        </w:tc>
        <w:tc>
          <w:tcPr>
            <w:tcW w:type="dxa" w:w="1440"/>
            <w:vAlign w:val="center"/>
            <w:tcMar>
              <w:top w:w="90" w:type="dxa"/>
              <w:start w:w="90" w:type="dxa"/>
              <w:bottom w:w="90" w:type="dxa"/>
              <w:end w:w="90" w:type="dxa"/>
            </w:tcMar>
          </w:tcPr>
          <w:p>
            <w:r>
              <w:t>🔵 Posterior. Monitoreo de uso, rotación periódica, respuesta a exposición.</w:t>
            </w:r>
            <w:r>
              <w:rPr>
                <w:b w:val="0"/>
                <w:color w:val="1F2937"/>
                <w:sz w:val="14"/>
              </w:rPr>
            </w:r>
          </w:p>
        </w:tc>
      </w:tr>
      <w:tr>
        <w:tc>
          <w:tcPr>
            <w:tcW w:type="dxa" w:w="792"/>
            <w:vAlign w:val="center"/>
            <w:tcMar>
              <w:top w:w="90" w:type="dxa"/>
              <w:start w:w="90" w:type="dxa"/>
              <w:bottom w:w="90" w:type="dxa"/>
              <w:end w:w="90" w:type="dxa"/>
            </w:tcMar>
          </w:tcPr>
          <w:p>
            <w:r/>
            <w:r>
              <w:rPr>
                <w:b w:val="0"/>
                <w:color w:val="1F2937"/>
                <w:sz w:val="14"/>
              </w:rPr>
              <w:t>C</w:t>
            </w:r>
          </w:p>
        </w:tc>
        <w:tc>
          <w:tcPr>
            <w:tcW w:type="dxa" w:w="1440"/>
            <w:vAlign w:val="center"/>
            <w:tcMar>
              <w:top w:w="90" w:type="dxa"/>
              <w:start w:w="90" w:type="dxa"/>
              <w:bottom w:w="90" w:type="dxa"/>
              <w:end w:w="90" w:type="dxa"/>
            </w:tcMar>
          </w:tcPr>
          <w:p>
            <w:r>
              <w:t>🟢 Temprano. Regla profesor↔grupo↔periodo vigente; estados borrador/publicado.</w:t>
            </w:r>
            <w:r>
              <w:rPr>
                <w:b w:val="0"/>
                <w:color w:val="1F2937"/>
                <w:sz w:val="14"/>
              </w:rPr>
            </w:r>
          </w:p>
        </w:tc>
        <w:tc>
          <w:tcPr>
            <w:tcW w:type="dxa" w:w="1440"/>
            <w:vAlign w:val="center"/>
            <w:tcMar>
              <w:top w:w="90" w:type="dxa"/>
              <w:start w:w="90" w:type="dxa"/>
              <w:bottom w:w="90" w:type="dxa"/>
              <w:end w:w="90" w:type="dxa"/>
            </w:tcMar>
          </w:tcPr>
          <w:p>
            <w:r>
              <w:t>Relación profesor↔grupo↔periodo como fuente de autorización; historial append-only.</w:t>
            </w:r>
            <w:r>
              <w:rPr>
                <w:b w:val="0"/>
                <w:color w:val="1F2937"/>
                <w:sz w:val="14"/>
              </w:rPr>
            </w:r>
          </w:p>
        </w:tc>
        <w:tc>
          <w:tcPr>
            <w:tcW w:type="dxa" w:w="1440"/>
            <w:vAlign w:val="center"/>
            <w:tcMar>
              <w:top w:w="90" w:type="dxa"/>
              <w:start w:w="90" w:type="dxa"/>
              <w:bottom w:w="90" w:type="dxa"/>
              <w:end w:w="90" w:type="dxa"/>
            </w:tcMar>
          </w:tcPr>
          <w:p>
            <w:r>
              <w:t>Validar asignación vigente en cada escritura; auditoría en la misma transacción.</w:t>
            </w:r>
            <w:r>
              <w:rPr>
                <w:b w:val="0"/>
                <w:color w:val="1F2937"/>
                <w:sz w:val="14"/>
              </w:rPr>
            </w:r>
          </w:p>
        </w:tc>
        <w:tc>
          <w:tcPr>
            <w:tcW w:type="dxa" w:w="1440"/>
            <w:vAlign w:val="center"/>
            <w:tcMar>
              <w:top w:w="90" w:type="dxa"/>
              <w:start w:w="90" w:type="dxa"/>
              <w:bottom w:w="90" w:type="dxa"/>
              <w:end w:w="90" w:type="dxa"/>
            </w:tcMar>
          </w:tcPr>
          <w:p>
            <w:r>
              <w:t>Negativas por grupo/periodo ajeno y publicación; verificar registro en bitácora.</w:t>
            </w:r>
            <w:r>
              <w:rPr>
                <w:b w:val="0"/>
                <w:color w:val="1F2937"/>
                <w:sz w:val="14"/>
              </w:rPr>
            </w:r>
          </w:p>
        </w:tc>
        <w:tc>
          <w:tcPr>
            <w:tcW w:type="dxa" w:w="1440"/>
            <w:vAlign w:val="center"/>
            <w:tcMar>
              <w:top w:w="90" w:type="dxa"/>
              <w:start w:w="90" w:type="dxa"/>
              <w:bottom w:w="90" w:type="dxa"/>
              <w:end w:w="90" w:type="dxa"/>
            </w:tcMar>
          </w:tcPr>
          <w:p>
            <w:r>
              <w:t>Bitácora insert-only; respaldos con retención; sincronización horaria.</w:t>
            </w:r>
            <w:r>
              <w:rPr>
                <w:b w:val="0"/>
                <w:color w:val="1F2937"/>
                <w:sz w:val="14"/>
              </w:rPr>
            </w:r>
          </w:p>
        </w:tc>
        <w:tc>
          <w:tcPr>
            <w:tcW w:type="dxa" w:w="1440"/>
            <w:vAlign w:val="center"/>
            <w:tcMar>
              <w:top w:w="90" w:type="dxa"/>
              <w:start w:w="90" w:type="dxa"/>
              <w:bottom w:w="90" w:type="dxa"/>
              <w:end w:w="90" w:type="dxa"/>
            </w:tcMar>
          </w:tcPr>
          <w:p>
            <w:r>
              <w:t>🔵 Posterior. Notificar al estudiante; revisión periódica y alertas.</w:t>
            </w:r>
            <w:r>
              <w:rPr>
                <w:b w:val="0"/>
                <w:color w:val="1F2937"/>
                <w:sz w:val="14"/>
              </w:rPr>
            </w:r>
          </w:p>
        </w:tc>
      </w:tr>
      <w:tr>
        <w:tc>
          <w:tcPr>
            <w:tcW w:type="dxa" w:w="792"/>
            <w:vAlign w:val="center"/>
            <w:tcMar>
              <w:top w:w="90" w:type="dxa"/>
              <w:start w:w="90" w:type="dxa"/>
              <w:bottom w:w="90" w:type="dxa"/>
              <w:end w:w="90" w:type="dxa"/>
            </w:tcMar>
          </w:tcPr>
          <w:p>
            <w:r/>
            <w:r>
              <w:rPr>
                <w:b w:val="0"/>
                <w:color w:val="1F2937"/>
                <w:sz w:val="14"/>
              </w:rPr>
              <w:t>D</w:t>
            </w:r>
          </w:p>
        </w:tc>
        <w:tc>
          <w:tcPr>
            <w:tcW w:type="dxa" w:w="1440"/>
            <w:vAlign w:val="center"/>
            <w:tcMar>
              <w:top w:w="90" w:type="dxa"/>
              <w:start w:w="90" w:type="dxa"/>
              <w:bottom w:w="90" w:type="dxa"/>
              <w:end w:w="90" w:type="dxa"/>
            </w:tcMar>
          </w:tcPr>
          <w:p>
            <w:r>
              <w:t>🟢 Temprano. Política de autenticación medible: umbral, MFA, contraseñas.</w:t>
            </w:r>
            <w:r>
              <w:rPr>
                <w:b w:val="0"/>
                <w:color w:val="1F2937"/>
                <w:sz w:val="14"/>
              </w:rPr>
            </w:r>
          </w:p>
        </w:tc>
        <w:tc>
          <w:tcPr>
            <w:tcW w:type="dxa" w:w="1440"/>
            <w:vAlign w:val="center"/>
            <w:tcMar>
              <w:top w:w="90" w:type="dxa"/>
              <w:start w:w="90" w:type="dxa"/>
              <w:bottom w:w="90" w:type="dxa"/>
              <w:end w:w="90" w:type="dxa"/>
            </w:tcMar>
          </w:tcPr>
          <w:p>
            <w:r>
              <w:t>Componente con contador por cuenta/IP; hash lento (Argon2id/bcrypt); rotación de sesión.</w:t>
            </w:r>
            <w:r>
              <w:rPr>
                <w:b w:val="0"/>
                <w:color w:val="1F2937"/>
                <w:sz w:val="14"/>
              </w:rPr>
            </w:r>
          </w:p>
        </w:tc>
        <w:tc>
          <w:tcPr>
            <w:tcW w:type="dxa" w:w="1440"/>
            <w:vAlign w:val="center"/>
            <w:tcMar>
              <w:top w:w="90" w:type="dxa"/>
              <w:start w:w="90" w:type="dxa"/>
              <w:bottom w:w="90" w:type="dxa"/>
              <w:end w:w="90" w:type="dxa"/>
            </w:tcMar>
          </w:tcPr>
          <w:p>
            <w:r>
              <w:t>Rate limiting, retardo progresivo, CAPTCHA; respuesta y tiempo uniformes.</w:t>
            </w:r>
            <w:r>
              <w:rPr>
                <w:b w:val="0"/>
                <w:color w:val="1F2937"/>
                <w:sz w:val="14"/>
              </w:rPr>
            </w:r>
          </w:p>
        </w:tc>
        <w:tc>
          <w:tcPr>
            <w:tcW w:type="dxa" w:w="1440"/>
            <w:vAlign w:val="center"/>
            <w:tcMar>
              <w:top w:w="90" w:type="dxa"/>
              <w:start w:w="90" w:type="dxa"/>
              <w:bottom w:w="90" w:type="dxa"/>
              <w:end w:w="90" w:type="dxa"/>
            </w:tcMar>
          </w:tcPr>
          <w:p>
            <w:r>
              <w:t>Simular 100 intentos; verificar bloqueo, mensaje uniforme, falsos positivos.</w:t>
            </w:r>
            <w:r>
              <w:rPr>
                <w:b w:val="0"/>
                <w:color w:val="1F2937"/>
                <w:sz w:val="14"/>
              </w:rPr>
            </w:r>
          </w:p>
        </w:tc>
        <w:tc>
          <w:tcPr>
            <w:tcW w:type="dxa" w:w="1440"/>
            <w:vAlign w:val="center"/>
            <w:tcMar>
              <w:top w:w="90" w:type="dxa"/>
              <w:start w:w="90" w:type="dxa"/>
              <w:bottom w:w="90" w:type="dxa"/>
              <w:end w:w="90" w:type="dxa"/>
            </w:tcMar>
          </w:tcPr>
          <w:p>
            <w:r>
              <w:t>Rate limiting también en el borde (WAF); registrar IP real tras el proxy.</w:t>
            </w:r>
            <w:r>
              <w:rPr>
                <w:b w:val="0"/>
                <w:color w:val="1F2937"/>
                <w:sz w:val="14"/>
              </w:rPr>
            </w:r>
          </w:p>
        </w:tc>
        <w:tc>
          <w:tcPr>
            <w:tcW w:type="dxa" w:w="1440"/>
            <w:vAlign w:val="center"/>
            <w:tcMar>
              <w:top w:w="90" w:type="dxa"/>
              <w:start w:w="90" w:type="dxa"/>
              <w:bottom w:w="90" w:type="dxa"/>
              <w:end w:w="90" w:type="dxa"/>
            </w:tcMar>
          </w:tcPr>
          <w:p>
            <w:r>
              <w:t>🔵 Posterior. Alertar ráfagas; notificar accesos inusuales; procedimiento de respuesta.</w:t>
            </w:r>
            <w:r>
              <w:rPr>
                <w:b w:val="0"/>
                <w:color w:val="1F2937"/>
                <w:sz w:val="14"/>
              </w:rPr>
            </w:r>
          </w:p>
        </w:tc>
      </w:tr>
    </w:tbl>
    <w:p>
      <w:pPr>
        <w:pStyle w:val="Heading1"/>
      </w:pPr>
      <w:r>
        <w:t>7. Clasificación conceptual</w:t>
      </w:r>
    </w:p>
    <w:p>
      <w:r>
        <w:t>Elijan dos decisiones de su mapa y expliquen cuál concepto representa mejor cada una.</w:t>
      </w:r>
    </w:p>
    <w:tbl>
      <w:tblPr>
        <w:tblStyle w:val="TableGrid"/>
        <w:tblW w:type="auto" w:w="0"/>
        <w:jc w:val="center"/>
        <w:tblLook w:firstColumn="1" w:firstRow="1" w:lastColumn="0" w:lastRow="0" w:noHBand="0" w:noVBand="1" w:val="04A0"/>
      </w:tblPr>
      <w:tblGrid>
        <w:gridCol w:w="3456"/>
        <w:gridCol w:w="3456"/>
        <w:gridCol w:w="3456"/>
      </w:tblGrid>
      <w:tr>
        <w:tc>
          <w:tcPr>
            <w:tcW w:type="dxa" w:w="3312"/>
            <w:shd w:fill="17365D"/>
            <w:vAlign w:val="center"/>
            <w:tcMar>
              <w:top w:w="90" w:type="dxa"/>
              <w:start w:w="90" w:type="dxa"/>
              <w:bottom w:w="90" w:type="dxa"/>
              <w:end w:w="90" w:type="dxa"/>
            </w:tcMar>
          </w:tcPr>
          <w:p>
            <w:r/>
            <w:r>
              <w:rPr>
                <w:b/>
                <w:color w:val="FFFFFF"/>
                <w:sz w:val="16"/>
              </w:rPr>
              <w:t>Decisión</w:t>
            </w:r>
          </w:p>
        </w:tc>
        <w:tc>
          <w:tcPr>
            <w:tcW w:type="dxa" w:w="3744"/>
            <w:shd w:fill="17365D"/>
            <w:vAlign w:val="center"/>
            <w:tcMar>
              <w:top w:w="90" w:type="dxa"/>
              <w:start w:w="90" w:type="dxa"/>
              <w:bottom w:w="90" w:type="dxa"/>
              <w:end w:w="90" w:type="dxa"/>
            </w:tcMar>
          </w:tcPr>
          <w:p>
            <w:r/>
            <w:r>
              <w:rPr>
                <w:b/>
                <w:color w:val="FFFFFF"/>
                <w:sz w:val="16"/>
              </w:rPr>
              <w:t>Secure SDLC / By Design / By Default / Shift Left</w:t>
            </w:r>
          </w:p>
        </w:tc>
        <w:tc>
          <w:tcPr>
            <w:tcW w:type="dxa" w:w="2880"/>
            <w:shd w:fill="17365D"/>
            <w:vAlign w:val="center"/>
            <w:tcMar>
              <w:top w:w="90" w:type="dxa"/>
              <w:start w:w="90" w:type="dxa"/>
              <w:bottom w:w="90" w:type="dxa"/>
              <w:end w:w="90" w:type="dxa"/>
            </w:tcMar>
          </w:tcPr>
          <w:p>
            <w:r/>
            <w:r>
              <w:rPr>
                <w:b/>
                <w:color w:val="FFFFFF"/>
                <w:sz w:val="16"/>
              </w:rPr>
              <w:t>Justificación</w:t>
            </w:r>
          </w:p>
        </w:tc>
      </w:tr>
      <w:tr>
        <w:tc>
          <w:tcPr>
            <w:tcW w:type="dxa" w:w="3312"/>
            <w:vAlign w:val="center"/>
            <w:tcMar>
              <w:top w:w="90" w:type="dxa"/>
              <w:start w:w="90" w:type="dxa"/>
              <w:bottom w:w="90" w:type="dxa"/>
              <w:end w:w="90" w:type="dxa"/>
            </w:tcMar>
          </w:tcPr>
          <w:p>
            <w:r>
              <w:t>1. El acceso a datos pasa obligatoriamente por una capa que recibe quién pide junto con qué pide; no existe una firma de consulta que acepte solo el identificador.</w:t>
            </w:r>
            <w:r>
              <w:rPr>
                <w:b w:val="0"/>
                <w:color w:val="1F2937"/>
                <w:sz w:val="16"/>
              </w:rPr>
            </w:r>
          </w:p>
        </w:tc>
        <w:tc>
          <w:tcPr>
            <w:tcW w:type="dxa" w:w="3744"/>
            <w:vAlign w:val="center"/>
            <w:tcMar>
              <w:top w:w="90" w:type="dxa"/>
              <w:start w:w="90" w:type="dxa"/>
              <w:bottom w:w="90" w:type="dxa"/>
              <w:end w:w="90" w:type="dxa"/>
            </w:tcMar>
          </w:tcPr>
          <w:p>
            <w:r>
              <w:t>Security by Design</w:t>
            </w:r>
            <w:r>
              <w:rPr>
                <w:b w:val="0"/>
                <w:color w:val="1F2937"/>
                <w:sz w:val="16"/>
              </w:rPr>
            </w:r>
          </w:p>
        </w:tc>
        <w:tc>
          <w:tcPr>
            <w:tcW w:type="dxa" w:w="2880"/>
            <w:vAlign w:val="center"/>
            <w:tcMar>
              <w:top w:w="90" w:type="dxa"/>
              <w:start w:w="90" w:type="dxa"/>
              <w:bottom w:w="90" w:type="dxa"/>
              <w:end w:w="90" w:type="dxa"/>
            </w:tcMar>
          </w:tcPr>
          <w:p>
            <w:r>
              <w:t>No es una validación agregada: es la estructura la que impide expresar el acceso inseguro. Un desarrollador no puede omitir la verificación porque el código no compila sin el contexto del solicitante. Si fuera by default, el acceso sin verificar seguiría siendo escribible y solo estaría desactivado de origen — la diferencia es entre "no se puede" y "viene apagado".</w:t>
            </w:r>
            <w:r>
              <w:rPr>
                <w:b w:val="0"/>
                <w:color w:val="1F2937"/>
                <w:sz w:val="16"/>
              </w:rPr>
            </w:r>
          </w:p>
        </w:tc>
      </w:tr>
      <w:tr>
        <w:tc>
          <w:tcPr>
            <w:tcW w:type="dxa" w:w="3312"/>
            <w:vAlign w:val="center"/>
            <w:tcMar>
              <w:top w:w="90" w:type="dxa"/>
              <w:start w:w="90" w:type="dxa"/>
              <w:bottom w:w="90" w:type="dxa"/>
              <w:end w:w="90" w:type="dxa"/>
            </w:tcMar>
          </w:tcPr>
          <w:p>
            <w:r>
              <w:t>2. Un endpoint sin regla de autorización declarada responde 403 (deny by default).</w:t>
            </w:r>
            <w:r>
              <w:rPr>
                <w:b w:val="0"/>
                <w:color w:val="1F2937"/>
                <w:sz w:val="16"/>
              </w:rPr>
            </w:r>
          </w:p>
        </w:tc>
        <w:tc>
          <w:tcPr>
            <w:tcW w:type="dxa" w:w="3744"/>
            <w:vAlign w:val="center"/>
            <w:tcMar>
              <w:top w:w="90" w:type="dxa"/>
              <w:start w:w="90" w:type="dxa"/>
              <w:bottom w:w="90" w:type="dxa"/>
              <w:end w:w="90" w:type="dxa"/>
            </w:tcMar>
          </w:tcPr>
          <w:p>
            <w:r>
              <w:t>Security by Default</w:t>
            </w:r>
            <w:r>
              <w:rPr>
                <w:b w:val="0"/>
                <w:color w:val="1F2937"/>
                <w:sz w:val="16"/>
              </w:rPr>
            </w:r>
          </w:p>
        </w:tc>
        <w:tc>
          <w:tcPr>
            <w:tcW w:type="dxa" w:w="2880"/>
            <w:vAlign w:val="center"/>
            <w:tcMar>
              <w:top w:w="90" w:type="dxa"/>
              <w:start w:w="90" w:type="dxa"/>
              <w:bottom w:w="90" w:type="dxa"/>
              <w:end w:w="90" w:type="dxa"/>
            </w:tcMar>
          </w:tcPr>
          <w:p>
            <w:r>
              <w:t>El sistema sí admite configurar mal un endpoint; lo que garantiza el default es que la ausencia de decisión caiga del lado seguro. Protege contra el olvido, que es el modo real en que estos fallos llegan a producción, no contra una decisión equivocada. Por eso es by default y no by design.</w:t>
            </w:r>
            <w:r>
              <w:rPr>
                <w:b w:val="0"/>
                <w:color w:val="1F2937"/>
                <w:sz w:val="16"/>
              </w:rPr>
            </w:r>
          </w:p>
        </w:tc>
      </w:tr>
    </w:tbl>
    <w:p>
      <w:pPr>
        <w:pStyle w:val="Heading1"/>
      </w:pPr>
      <w:r>
        <w:t>8. Reflexión</w:t>
      </w:r>
    </w:p>
    <w:p>
      <w:pPr>
        <w:pStyle w:val="ListBullet"/>
        <w:spacing w:after="40"/>
      </w:pPr>
      <w:r>
        <w:t>¿Qué riesgo de SC-LAB-001 necesitó controles en más fases?</w:t>
      </w:r>
    </w:p>
    <w:p>
      <w:pPr>
        <w:pStyle w:val="ListBullet"/>
        <w:spacing w:after="40"/>
      </w:pPr>
      <w:r>
        <w:t>¿Qué habría ocurrido si el equipo hubiera esperado hasta pruebas?</w:t>
      </w:r>
    </w:p>
    <w:p>
      <w:pPr>
        <w:pStyle w:val="ListBullet"/>
        <w:spacing w:after="40"/>
      </w:pPr>
      <w:r>
        <w:t>¿Qué control depende de una regla de negocio y cuál puede automatizarse?</w:t>
      </w:r>
    </w:p>
    <w:p>
      <w:pPr>
        <w:pStyle w:val="Heading1"/>
      </w:pPr>
      <w:r>
        <w:t>Evidencia en GitHub</w:t>
      </w:r>
    </w:p>
    <w:p>
      <w:r>
        <w:t>Crear o actualizar: docs/security/SC-LAB-002-secure-sdlc-map.md</w:t>
      </w:r>
    </w:p>
    <w:tbl>
      <w:tblPr>
        <w:tblW w:type="auto" w:w="0"/>
        <w:jc w:val="center"/>
        <w:tblLook w:firstColumn="1" w:firstRow="1" w:lastColumn="0" w:lastRow="0" w:noHBand="0" w:noVBand="1" w:val="04A0"/>
      </w:tblPr>
      <w:tblGrid>
        <w:gridCol w:w="10368"/>
      </w:tblGrid>
      <w:tr>
        <w:tc>
          <w:tcPr>
            <w:tcW w:type="dxa" w:w="10368"/>
            <w:shd w:fill="F7F3EE"/>
            <w:tcMar>
              <w:top w:w="140" w:type="dxa"/>
              <w:start w:w="150" w:type="dxa"/>
              <w:bottom w:w="140" w:type="dxa"/>
              <w:end w:w="150" w:type="dxa"/>
            </w:tcMar>
          </w:tcPr>
          <w:p>
            <w:r>
              <w:rPr>
                <w:b/>
                <w:color w:val="17365D"/>
                <w:sz w:val="20"/>
              </w:rPr>
              <w:t>Flujo obligatorio</w:t>
              <w:br/>
            </w:r>
            <w:r>
              <w:rPr>
                <w:sz w:val="18"/>
              </w:rPr>
              <w:t>git status → git diff → git add → git diff --staged → git commit → git push → verificar en GitHub</w:t>
            </w:r>
          </w:p>
        </w:tc>
      </w:tr>
    </w:tbl>
    <w:p>
      <w:pPr>
        <w:pStyle w:val="Heading1"/>
      </w:pPr>
      <w:r>
        <w:t>9. Criterios de aceptación</w:t>
      </w:r>
    </w:p>
    <w:p>
      <w:pPr>
        <w:pStyle w:val="ListBullet"/>
        <w:spacing w:after="40"/>
      </w:pPr>
      <w:r>
        <w:t>El mapa cubre las seis fases.</w:t>
      </w:r>
    </w:p>
    <w:p>
      <w:pPr>
        <w:pStyle w:val="ListBullet"/>
        <w:spacing w:after="40"/>
      </w:pPr>
      <w:r>
        <w:t>Los controles corresponden al escenario y no son frases genéricas como «poner seguridad».</w:t>
      </w:r>
    </w:p>
    <w:p>
      <w:pPr>
        <w:pStyle w:val="ListBullet"/>
        <w:spacing w:after="40"/>
      </w:pPr>
      <w:r>
        <w:t>Se distingue autenticación de autorización cuando aplique.</w:t>
      </w:r>
    </w:p>
    <w:p>
      <w:pPr>
        <w:pStyle w:val="ListBullet"/>
        <w:spacing w:after="40"/>
      </w:pPr>
      <w:r>
        <w:t>El archivo está en la ruta solicitada y el commit describe la evidencia.</w:t>
      </w:r>
    </w:p>
    <w:p>
      <w:pPr>
        <w:pStyle w:val="Heading1"/>
      </w:pPr>
      <w:r>
        <w:t>10. Rúbrica · 100 puntos</w:t>
      </w:r>
    </w:p>
    <w:tbl>
      <w:tblPr>
        <w:tblStyle w:val="TableGrid"/>
        <w:tblW w:type="auto" w:w="0"/>
        <w:jc w:val="center"/>
        <w:tblLook w:firstColumn="1" w:firstRow="1" w:lastColumn="0" w:lastRow="0" w:noHBand="0" w:noVBand="1" w:val="04A0"/>
      </w:tblPr>
      <w:tblGrid>
        <w:gridCol w:w="5184"/>
        <w:gridCol w:w="5184"/>
      </w:tblGrid>
      <w:tr>
        <w:tc>
          <w:tcPr>
            <w:tcW w:type="dxa" w:w="7920"/>
            <w:shd w:fill="17365D"/>
            <w:vAlign w:val="center"/>
            <w:tcMar>
              <w:top w:w="90" w:type="dxa"/>
              <w:start w:w="90" w:type="dxa"/>
              <w:bottom w:w="90" w:type="dxa"/>
              <w:end w:w="90" w:type="dxa"/>
            </w:tcMar>
          </w:tcPr>
          <w:p>
            <w:r/>
            <w:r>
              <w:rPr>
                <w:b/>
                <w:color w:val="FFFFFF"/>
                <w:sz w:val="16"/>
              </w:rPr>
              <w:t>Criterio</w:t>
            </w:r>
          </w:p>
        </w:tc>
        <w:tc>
          <w:tcPr>
            <w:tcW w:type="dxa" w:w="1152"/>
            <w:shd w:fill="17365D"/>
            <w:vAlign w:val="center"/>
            <w:tcMar>
              <w:top w:w="90" w:type="dxa"/>
              <w:start w:w="90" w:type="dxa"/>
              <w:bottom w:w="90" w:type="dxa"/>
              <w:end w:w="90" w:type="dxa"/>
            </w:tcMar>
          </w:tcPr>
          <w:p>
            <w:r/>
            <w:r>
              <w:rPr>
                <w:b/>
                <w:color w:val="FFFFFF"/>
                <w:sz w:val="16"/>
              </w:rPr>
              <w:t>Pts</w:t>
            </w:r>
          </w:p>
        </w:tc>
      </w:tr>
      <w:tr>
        <w:tc>
          <w:tcPr>
            <w:tcW w:type="dxa" w:w="7920"/>
            <w:vAlign w:val="center"/>
            <w:tcMar>
              <w:top w:w="90" w:type="dxa"/>
              <w:start w:w="90" w:type="dxa"/>
              <w:bottom w:w="90" w:type="dxa"/>
              <w:end w:w="90" w:type="dxa"/>
            </w:tcMar>
          </w:tcPr>
          <w:p>
            <w:r/>
            <w:r>
              <w:rPr>
                <w:b w:val="0"/>
                <w:color w:val="1F2937"/>
                <w:sz w:val="16"/>
              </w:rPr>
              <w:t>Mapa por fases y coherencia de controles</w:t>
            </w:r>
          </w:p>
        </w:tc>
        <w:tc>
          <w:tcPr>
            <w:tcW w:type="dxa" w:w="1152"/>
            <w:vAlign w:val="center"/>
            <w:tcMar>
              <w:top w:w="90" w:type="dxa"/>
              <w:start w:w="90" w:type="dxa"/>
              <w:bottom w:w="90" w:type="dxa"/>
              <w:end w:w="90" w:type="dxa"/>
            </w:tcMar>
          </w:tcPr>
          <w:p>
            <w:r/>
            <w:r>
              <w:rPr>
                <w:b w:val="0"/>
                <w:color w:val="1F2937"/>
                <w:sz w:val="16"/>
              </w:rPr>
              <w:t>35</w:t>
            </w:r>
          </w:p>
        </w:tc>
      </w:tr>
      <w:tr>
        <w:tc>
          <w:tcPr>
            <w:tcW w:type="dxa" w:w="7920"/>
            <w:vAlign w:val="center"/>
            <w:tcMar>
              <w:top w:w="90" w:type="dxa"/>
              <w:start w:w="90" w:type="dxa"/>
              <w:bottom w:w="90" w:type="dxa"/>
              <w:end w:w="90" w:type="dxa"/>
            </w:tcMar>
          </w:tcPr>
          <w:p>
            <w:r/>
            <w:r>
              <w:rPr>
                <w:b w:val="0"/>
                <w:color w:val="1F2937"/>
                <w:sz w:val="16"/>
              </w:rPr>
              <w:t>Análisis de los 4 escenarios</w:t>
            </w:r>
          </w:p>
        </w:tc>
        <w:tc>
          <w:tcPr>
            <w:tcW w:type="dxa" w:w="1152"/>
            <w:vAlign w:val="center"/>
            <w:tcMar>
              <w:top w:w="90" w:type="dxa"/>
              <w:start w:w="90" w:type="dxa"/>
              <w:bottom w:w="90" w:type="dxa"/>
              <w:end w:w="90" w:type="dxa"/>
            </w:tcMar>
          </w:tcPr>
          <w:p>
            <w:r/>
            <w:r>
              <w:rPr>
                <w:b w:val="0"/>
                <w:color w:val="1F2937"/>
                <w:sz w:val="16"/>
              </w:rPr>
              <w:t>25</w:t>
            </w:r>
          </w:p>
        </w:tc>
      </w:tr>
      <w:tr>
        <w:tc>
          <w:tcPr>
            <w:tcW w:type="dxa" w:w="7920"/>
            <w:vAlign w:val="center"/>
            <w:tcMar>
              <w:top w:w="90" w:type="dxa"/>
              <w:start w:w="90" w:type="dxa"/>
              <w:bottom w:w="90" w:type="dxa"/>
              <w:end w:w="90" w:type="dxa"/>
            </w:tcMar>
          </w:tcPr>
          <w:p>
            <w:r/>
            <w:r>
              <w:rPr>
                <w:b w:val="0"/>
                <w:color w:val="1F2937"/>
                <w:sz w:val="16"/>
              </w:rPr>
              <w:t>Uso correcto de conceptos</w:t>
            </w:r>
          </w:p>
        </w:tc>
        <w:tc>
          <w:tcPr>
            <w:tcW w:type="dxa" w:w="1152"/>
            <w:vAlign w:val="center"/>
            <w:tcMar>
              <w:top w:w="90" w:type="dxa"/>
              <w:start w:w="90" w:type="dxa"/>
              <w:bottom w:w="90" w:type="dxa"/>
              <w:end w:w="90" w:type="dxa"/>
            </w:tcMar>
          </w:tcPr>
          <w:p>
            <w:r/>
            <w:r>
              <w:rPr>
                <w:b w:val="0"/>
                <w:color w:val="1F2937"/>
                <w:sz w:val="16"/>
              </w:rPr>
              <w:t>20</w:t>
            </w:r>
          </w:p>
        </w:tc>
      </w:tr>
      <w:tr>
        <w:tc>
          <w:tcPr>
            <w:tcW w:type="dxa" w:w="7920"/>
            <w:vAlign w:val="center"/>
            <w:tcMar>
              <w:top w:w="90" w:type="dxa"/>
              <w:start w:w="90" w:type="dxa"/>
              <w:bottom w:w="90" w:type="dxa"/>
              <w:end w:w="90" w:type="dxa"/>
            </w:tcMar>
          </w:tcPr>
          <w:p>
            <w:r/>
            <w:r>
              <w:rPr>
                <w:b w:val="0"/>
                <w:color w:val="1F2937"/>
                <w:sz w:val="16"/>
              </w:rPr>
              <w:t>Evidencia Git/GitHub</w:t>
            </w:r>
          </w:p>
        </w:tc>
        <w:tc>
          <w:tcPr>
            <w:tcW w:type="dxa" w:w="1152"/>
            <w:vAlign w:val="center"/>
            <w:tcMar>
              <w:top w:w="90" w:type="dxa"/>
              <w:start w:w="90" w:type="dxa"/>
              <w:bottom w:w="90" w:type="dxa"/>
              <w:end w:w="90" w:type="dxa"/>
            </w:tcMar>
          </w:tcPr>
          <w:p>
            <w:r/>
            <w:r>
              <w:rPr>
                <w:b w:val="0"/>
                <w:color w:val="1F2937"/>
                <w:sz w:val="16"/>
              </w:rPr>
              <w:t>10</w:t>
            </w:r>
          </w:p>
        </w:tc>
      </w:tr>
      <w:tr>
        <w:tc>
          <w:tcPr>
            <w:tcW w:type="dxa" w:w="7920"/>
            <w:vAlign w:val="center"/>
            <w:tcMar>
              <w:top w:w="90" w:type="dxa"/>
              <w:start w:w="90" w:type="dxa"/>
              <w:bottom w:w="90" w:type="dxa"/>
              <w:end w:w="90" w:type="dxa"/>
            </w:tcMar>
          </w:tcPr>
          <w:p>
            <w:r/>
            <w:r>
              <w:rPr>
                <w:b w:val="0"/>
                <w:color w:val="1F2937"/>
                <w:sz w:val="16"/>
              </w:rPr>
              <w:t>Reflexión y claridad técnica</w:t>
            </w:r>
          </w:p>
        </w:tc>
        <w:tc>
          <w:tcPr>
            <w:tcW w:type="dxa" w:w="1152"/>
            <w:vAlign w:val="center"/>
            <w:tcMar>
              <w:top w:w="90" w:type="dxa"/>
              <w:start w:w="90" w:type="dxa"/>
              <w:bottom w:w="90" w:type="dxa"/>
              <w:end w:w="90" w:type="dxa"/>
            </w:tcMar>
          </w:tcPr>
          <w:p>
            <w:r/>
            <w:r>
              <w:rPr>
                <w:b w:val="0"/>
                <w:color w:val="1F2937"/>
                <w:sz w:val="16"/>
              </w:rPr>
              <w:t>10</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Manual del Alumno  •  v1.0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7365D"/>
        <w:sz w:val="16"/>
      </w:rPr>
      <w:t>SECURECAMPUS  |  DESARROLLO SEGURO  |  SC-LAB-002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B873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CA5D8ACEFC438744A344C54C34714B17" ma:contentTypeVersion="3" ma:contentTypeDescription="Crear nuevo documento." ma:contentTypeScope="" ma:versionID="2926c73f16d59da342bdd0cf87e366bc">
  <xsd:schema xmlns:xsd="http://www.w3.org/2001/XMLSchema" xmlns:xs="http://www.w3.org/2001/XMLSchema" xmlns:p="http://schemas.microsoft.com/office/2006/metadata/properties" xmlns:ns2="f6b9db3e-c73d-4554-af2c-210e4f28c8b5" targetNamespace="http://schemas.microsoft.com/office/2006/metadata/properties" ma:root="true" ma:fieldsID="1b50d9d79218d7fc100cf788e52ace6a" ns2:_="">
    <xsd:import namespace="f6b9db3e-c73d-4554-af2c-210e4f28c8b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b9db3e-c73d-4554-af2c-210e4f28c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A45ACB1-8CC8-466C-9DFA-724A4364B45C}"/>
</file>

<file path=customXml/itemProps3.xml><?xml version="1.0" encoding="utf-8"?>
<ds:datastoreItem xmlns:ds="http://schemas.openxmlformats.org/officeDocument/2006/customXml" ds:itemID="{A6573BAC-AF15-4A64-87BD-D4B19BC54DDD}"/>
</file>

<file path=customXml/itemProps4.xml><?xml version="1.0" encoding="utf-8"?>
<ds:datastoreItem xmlns:ds="http://schemas.openxmlformats.org/officeDocument/2006/customXml" ds:itemID="{BE874BCA-1B1F-44D9-846D-49B891611EF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0x010100CA5D8ACEFC438744A344C54C34714B17</vt:lpwstr>
  </property>
</Properties>
</file>