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7333"/>
          <w:sz w:val="26"/>
        </w:rPr>
        <w:t>SC-LAB-004</w:t>
      </w:r>
    </w:p>
    <w:p>
      <w:pPr>
        <w:pStyle w:val="Title"/>
        <w:jc w:val="center"/>
      </w:pPr>
      <w:r>
        <w:t>Análisis de Seguridad Estático y Dinámico</w:t>
        <w:br/>
        <w:t>SAST + DAST</w:t>
      </w:r>
    </w:p>
    <w:p>
      <w:pPr>
        <w:jc w:val="center"/>
      </w:pPr>
      <w:r>
        <w:rPr>
          <w:b/>
          <w:color w:val="2F5597"/>
          <w:sz w:val="22"/>
        </w:rPr>
        <w:t>Manual del Alumno</w:t>
      </w:r>
    </w:p>
    <w:p>
      <w:pPr>
        <w:jc w:val="center"/>
      </w:pPr>
      <w:r>
        <w:rPr>
          <w:color w:val="17365D"/>
          <w:sz w:val="18"/>
        </w:rPr>
        <w:t>SecureCampus Security Lab · versión 1.0 · septiembre 2026</w:t>
      </w:r>
    </w:p>
    <w:tbl>
      <w:tblPr>
        <w:tblW w:type="auto" w:w="0"/>
        <w:jc w:val="center"/>
        <w:tblLook w:firstColumn="1" w:firstRow="1" w:lastColumn="0" w:lastRow="0" w:noHBand="0" w:noVBand="1" w:val="04A0"/>
      </w:tblPr>
      <w:tblGrid>
        <w:gridCol w:w="10224"/>
      </w:tblGrid>
      <w:tr>
        <w:tc>
          <w:tcPr>
            <w:tcW w:type="dxa" w:w="10224"/>
            <w:shd w:fill="F7F3EE"/>
          </w:tcPr>
          <w:p>
            <w:r>
              <w:rPr>
                <w:b/>
                <w:color w:val="17365D"/>
                <w:sz w:val="20"/>
              </w:rPr>
              <w:t>Pregunta guía</w:t>
              <w:br/>
            </w:r>
            <w:r>
              <w:rPr>
                <w:sz w:val="18"/>
              </w:rPr>
              <w:t>¿Qué puede descubrir una herramienta al analizar el código fuente y qué puede descubrir al interactuar con una aplicación en ejecución?</w:t>
            </w:r>
          </w:p>
        </w:tc>
      </w:tr>
    </w:tbl>
    <w:p>
      <w:pPr>
        <w:spacing w:after="0"/>
      </w:pPr>
    </w:p>
    <w:p>
      <w:pPr>
        <w:pStyle w:val="Heading1"/>
      </w:pPr>
      <w:r>
        <w:t>1. Propósito y resultados de aprendizaje</w:t>
      </w:r>
    </w:p>
    <w:p>
      <w:r>
        <w:t>Analizar una miniaplicación de SecureCampus con técnicas SAST y DAST, interpretar evidencia, corregir dos vulnerabilidades deliberadas y comprobar las correcciones mediante reanálisis.</w:t>
      </w:r>
    </w:p>
    <w:p>
      <w:pPr>
        <w:pStyle w:val="ListBullet"/>
      </w:pPr>
      <w:r>
        <w:t>Distinguir SAST de DAST por objeto de análisis, momento de ejecución y evidencia.</w:t>
      </w:r>
    </w:p>
    <w:p>
      <w:pPr>
        <w:pStyle w:val="ListBullet"/>
      </w:pPr>
      <w:r>
        <w:t>Ejecutar Semgrep sobre código Python y OWASP ZAP sobre una aplicación Flask local.</w:t>
      </w:r>
    </w:p>
    <w:p>
      <w:pPr>
        <w:pStyle w:val="ListBullet"/>
      </w:pPr>
      <w:r>
        <w:t>Interpretar hallazgos sin asumir que 0 findings, PASS o WARN equivalen a una garantía absoluta.</w:t>
      </w:r>
    </w:p>
    <w:p>
      <w:pPr>
        <w:pStyle w:val="ListBullet"/>
      </w:pPr>
      <w:r>
        <w:t>Corregir una construcción SQL insegura mediante consulta parametrizada.</w:t>
      </w:r>
    </w:p>
    <w:p>
      <w:pPr>
        <w:pStyle w:val="ListBullet"/>
      </w:pPr>
      <w:r>
        <w:t>Validar y corregir XSS reflejado mediante output escaping y retesting.</w:t>
      </w:r>
    </w:p>
    <w:p>
      <w:pPr>
        <w:pStyle w:val="ListBullet"/>
      </w:pPr>
      <w:r>
        <w:t>Registrar trazabilidad técnica con Git.</w:t>
      </w:r>
    </w:p>
    <w:p>
      <w:pPr>
        <w:pStyle w:val="Heading1"/>
      </w:pPr>
      <w:r>
        <w:t>2. Requisitos del laboratorio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7"/>
              </w:rPr>
              <w:t>Componente</w:t>
            </w:r>
          </w:p>
        </w:tc>
        <w:tc>
          <w:tcPr>
            <w:tcW w:type="dxa" w:w="5112"/>
            <w:vAlign w:val="center"/>
            <w:shd w:fill="17365D"/>
          </w:tcPr>
          <w:p>
            <w:r/>
            <w:r>
              <w:rPr>
                <w:rFonts w:ascii="Aptos" w:hAnsi="Aptos"/>
                <w:b/>
                <w:color w:val="FFFFFF"/>
                <w:sz w:val="17"/>
              </w:rPr>
              <w:t>Requisito</w:t>
            </w:r>
          </w:p>
        </w:tc>
      </w:tr>
      <w:tr>
        <w:tc>
          <w:tcPr>
            <w:tcW w:type="dxa" w:w="5112"/>
            <w:vAlign w:val="center"/>
          </w:tcPr>
          <w:p>
            <w:r/>
            <w:r>
              <w:rPr>
                <w:rFonts w:ascii="Aptos" w:hAnsi="Aptos"/>
                <w:b w:val="0"/>
                <w:color w:val="1F1F1F"/>
                <w:sz w:val="17"/>
              </w:rPr>
              <w:t>Sistema</w:t>
            </w:r>
          </w:p>
        </w:tc>
        <w:tc>
          <w:tcPr>
            <w:tcW w:type="dxa" w:w="5112"/>
            <w:vAlign w:val="center"/>
          </w:tcPr>
          <w:p>
            <w:r/>
            <w:r>
              <w:rPr>
                <w:rFonts w:ascii="Aptos" w:hAnsi="Aptos"/>
                <w:b w:val="0"/>
                <w:color w:val="1F1F1F"/>
                <w:sz w:val="17"/>
              </w:rPr>
              <w:t>Windows + PowerShell + VS Code</w:t>
            </w:r>
          </w:p>
        </w:tc>
      </w:tr>
      <w:tr>
        <w:tc>
          <w:tcPr>
            <w:tcW w:type="dxa" w:w="5112"/>
            <w:vAlign w:val="center"/>
            <w:shd w:fill="F7F9FC"/>
          </w:tcPr>
          <w:p>
            <w:r/>
            <w:r>
              <w:rPr>
                <w:rFonts w:ascii="Aptos" w:hAnsi="Aptos"/>
                <w:b w:val="0"/>
                <w:color w:val="1F1F1F"/>
                <w:sz w:val="17"/>
              </w:rPr>
              <w:t>Git</w:t>
            </w:r>
          </w:p>
        </w:tc>
        <w:tc>
          <w:tcPr>
            <w:tcW w:type="dxa" w:w="5112"/>
            <w:vAlign w:val="center"/>
            <w:shd w:fill="F7F9FC"/>
          </w:tcPr>
          <w:p>
            <w:r/>
            <w:r>
              <w:rPr>
                <w:rFonts w:ascii="Aptos" w:hAnsi="Aptos"/>
                <w:b w:val="0"/>
                <w:color w:val="1F1F1F"/>
                <w:sz w:val="17"/>
              </w:rPr>
              <w:t>Repositorio local SecureCampus-SecurityLab</w:t>
            </w:r>
          </w:p>
        </w:tc>
      </w:tr>
      <w:tr>
        <w:tc>
          <w:tcPr>
            <w:tcW w:type="dxa" w:w="5112"/>
            <w:vAlign w:val="center"/>
          </w:tcPr>
          <w:p>
            <w:r/>
            <w:r>
              <w:rPr>
                <w:rFonts w:ascii="Aptos" w:hAnsi="Aptos"/>
                <w:b w:val="0"/>
                <w:color w:val="1F1F1F"/>
                <w:sz w:val="17"/>
              </w:rPr>
              <w:t>Python</w:t>
            </w:r>
          </w:p>
        </w:tc>
        <w:tc>
          <w:tcPr>
            <w:tcW w:type="dxa" w:w="5112"/>
            <w:vAlign w:val="center"/>
          </w:tcPr>
          <w:p>
            <w:r/>
            <w:r>
              <w:rPr>
                <w:rFonts w:ascii="Aptos" w:hAnsi="Aptos"/>
                <w:b w:val="0"/>
                <w:color w:val="1F1F1F"/>
                <w:sz w:val="17"/>
              </w:rPr>
              <w:t>Python 3.14.x y entorno .venv</w:t>
            </w:r>
          </w:p>
        </w:tc>
      </w:tr>
      <w:tr>
        <w:tc>
          <w:tcPr>
            <w:tcW w:type="dxa" w:w="5112"/>
            <w:vAlign w:val="center"/>
            <w:shd w:fill="F7F9FC"/>
          </w:tcPr>
          <w:p>
            <w:r/>
            <w:r>
              <w:rPr>
                <w:rFonts w:ascii="Aptos" w:hAnsi="Aptos"/>
                <w:b w:val="0"/>
                <w:color w:val="1F1F1F"/>
                <w:sz w:val="17"/>
              </w:rPr>
              <w:t>Web</w:t>
            </w:r>
          </w:p>
        </w:tc>
        <w:tc>
          <w:tcPr>
            <w:tcW w:type="dxa" w:w="5112"/>
            <w:vAlign w:val="center"/>
            <w:shd w:fill="F7F9FC"/>
          </w:tcPr>
          <w:p>
            <w:r/>
            <w:r>
              <w:rPr>
                <w:rFonts w:ascii="Aptos" w:hAnsi="Aptos"/>
                <w:b w:val="0"/>
                <w:color w:val="1F1F1F"/>
                <w:sz w:val="17"/>
              </w:rPr>
              <w:t>Flask 3.x</w:t>
            </w:r>
          </w:p>
        </w:tc>
      </w:tr>
      <w:tr>
        <w:tc>
          <w:tcPr>
            <w:tcW w:type="dxa" w:w="5112"/>
            <w:vAlign w:val="center"/>
          </w:tcPr>
          <w:p>
            <w:r/>
            <w:r>
              <w:rPr>
                <w:rFonts w:ascii="Aptos" w:hAnsi="Aptos"/>
                <w:b w:val="0"/>
                <w:color w:val="1F1F1F"/>
                <w:sz w:val="17"/>
              </w:rPr>
              <w:t>Docker</w:t>
            </w:r>
          </w:p>
        </w:tc>
        <w:tc>
          <w:tcPr>
            <w:tcW w:type="dxa" w:w="5112"/>
            <w:vAlign w:val="center"/>
          </w:tcPr>
          <w:p>
            <w:r/>
            <w:r>
              <w:rPr>
                <w:rFonts w:ascii="Aptos" w:hAnsi="Aptos"/>
                <w:b w:val="0"/>
                <w:color w:val="1F1F1F"/>
                <w:sz w:val="17"/>
              </w:rPr>
              <w:t>Docker Desktop con Engine activo</w:t>
            </w:r>
          </w:p>
        </w:tc>
      </w:tr>
      <w:tr>
        <w:tc>
          <w:tcPr>
            <w:tcW w:type="dxa" w:w="5112"/>
            <w:vAlign w:val="center"/>
            <w:shd w:fill="F7F9FC"/>
          </w:tcPr>
          <w:p>
            <w:r/>
            <w:r>
              <w:rPr>
                <w:rFonts w:ascii="Aptos" w:hAnsi="Aptos"/>
                <w:b w:val="0"/>
                <w:color w:val="1F1F1F"/>
                <w:sz w:val="17"/>
              </w:rPr>
              <w:t>SAST</w:t>
            </w:r>
          </w:p>
        </w:tc>
        <w:tc>
          <w:tcPr>
            <w:tcW w:type="dxa" w:w="5112"/>
            <w:vAlign w:val="center"/>
            <w:shd w:fill="F7F9FC"/>
          </w:tcPr>
          <w:p>
            <w:r/>
            <w:r>
              <w:rPr>
                <w:rFonts w:ascii="Aptos" w:hAnsi="Aptos"/>
                <w:b w:val="0"/>
                <w:color w:val="1F1F1F"/>
                <w:sz w:val="17"/>
              </w:rPr>
              <w:t>Semgrep Community mediante contenedor</w:t>
            </w:r>
          </w:p>
        </w:tc>
      </w:tr>
      <w:tr>
        <w:tc>
          <w:tcPr>
            <w:tcW w:type="dxa" w:w="5112"/>
            <w:vAlign w:val="center"/>
          </w:tcPr>
          <w:p>
            <w:r/>
            <w:r>
              <w:rPr>
                <w:rFonts w:ascii="Aptos" w:hAnsi="Aptos"/>
                <w:b w:val="0"/>
                <w:color w:val="1F1F1F"/>
                <w:sz w:val="17"/>
              </w:rPr>
              <w:t>DAST</w:t>
            </w:r>
          </w:p>
        </w:tc>
        <w:tc>
          <w:tcPr>
            <w:tcW w:type="dxa" w:w="5112"/>
            <w:vAlign w:val="center"/>
          </w:tcPr>
          <w:p>
            <w:r/>
            <w:r>
              <w:rPr>
                <w:rFonts w:ascii="Aptos" w:hAnsi="Aptos"/>
                <w:b w:val="0"/>
                <w:color w:val="1F1F1F"/>
                <w:sz w:val="17"/>
              </w:rPr>
              <w:t>OWASP ZAP mediante contenedor</w:t>
            </w:r>
          </w:p>
        </w:tc>
      </w:tr>
    </w:tbl>
    <w:tbl>
      <w:tblPr>
        <w:tblW w:type="auto" w:w="0"/>
        <w:jc w:val="center"/>
        <w:tblLook w:firstColumn="1" w:firstRow="1" w:lastColumn="0" w:lastRow="0" w:noHBand="0" w:noVBand="1" w:val="04A0"/>
      </w:tblPr>
      <w:tblGrid>
        <w:gridCol w:w="10224"/>
      </w:tblGrid>
      <w:tr>
        <w:tc>
          <w:tcPr>
            <w:tcW w:type="dxa" w:w="10224"/>
            <w:shd w:fill="FDE9D9"/>
          </w:tcPr>
          <w:p>
            <w:r>
              <w:rPr>
                <w:b/>
                <w:color w:val="17365D"/>
                <w:sz w:val="20"/>
              </w:rPr>
              <w:t>Regla de seguridad</w:t>
              <w:br/>
            </w:r>
            <w:r>
              <w:rPr>
                <w:sz w:val="18"/>
              </w:rPr>
              <w:t>Todos los escaneos activos de esta práctica se realizan únicamente contra la aplicación local deliberadamente vulnerable del laboratorio. No se deben dirigir contra sistemas externos o sin autorización.</w:t>
            </w:r>
          </w:p>
        </w:tc>
      </w:tr>
    </w:tbl>
    <w:p>
      <w:pPr>
        <w:spacing w:after="0"/>
      </w:pPr>
    </w:p>
    <w:p>
      <w:pPr>
        <w:pStyle w:val="Heading1"/>
      </w:pPr>
      <w:r>
        <w:t>3. Preparación</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cd C:\Users\marel\SecureCampus-SecurityLab</w:t>
              <w:br/>
              <w:t>.\.venv\Scripts\Activate.ps1</w:t>
              <w:br/>
              <w:t>git status</w:t>
              <w:br/>
              <w:t>docker info</w:t>
            </w:r>
          </w:p>
        </w:tc>
      </w:tr>
    </w:tbl>
    <w:p>
      <w:r>
        <w:t>La estructura mínima esperada incluye src/, tests/, docs/security/, .gitignore y requirements.txt.</w:t>
      </w:r>
    </w:p>
    <w:p>
      <w:pPr>
        <w:pStyle w:val="Heading1"/>
      </w:pPr>
      <w:r>
        <w:t>4. Parte A · SAST con Semgrep</w:t>
      </w:r>
    </w:p>
    <w:p>
      <w:pPr>
        <w:pStyle w:val="Heading2"/>
      </w:pPr>
      <w:r>
        <w:t>4.1 Analiza primero como desarrollador</w:t>
      </w:r>
    </w:p>
    <w:p>
      <w:r>
        <w:t>Revisa el archivo src/app.py. Identifica: entrada controlada por usuario, flujo de datos, operación sensible y posibles problemas. No ejecutes aún la herramienta.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7"/>
              </w:rPr>
              <w:t>Pregunta</w:t>
            </w:r>
          </w:p>
        </w:tc>
        <w:tc>
          <w:tcPr>
            <w:tcW w:type="dxa" w:w="5112"/>
            <w:vAlign w:val="center"/>
            <w:shd w:fill="17365D"/>
          </w:tcPr>
          <w:p>
            <w:r/>
            <w:r>
              <w:rPr>
                <w:rFonts w:ascii="Aptos" w:hAnsi="Aptos"/>
                <w:b/>
                <w:color w:val="FFFFFF"/>
                <w:sz w:val="17"/>
              </w:rPr>
              <w:t>Respuesta del equipo</w:t>
            </w:r>
          </w:p>
        </w:tc>
      </w:tr>
      <w:tr>
        <w:tc>
          <w:tcPr>
            <w:tcW w:type="dxa" w:w="5112"/>
            <w:vAlign w:val="center"/>
          </w:tcPr>
          <w:p>
            <w:r/>
            <w:r>
              <w:rPr>
                <w:rFonts w:ascii="Aptos" w:hAnsi="Aptos"/>
                <w:b w:val="0"/>
                <w:color w:val="1F1F1F"/>
                <w:sz w:val="17"/>
              </w:rPr>
              <w:t>¿Qué dato controla el usuario?</w:t>
            </w:r>
          </w:p>
        </w:tc>
        <w:tc>
          <w:tcPr>
            <w:tcW w:type="dxa" w:w="5112"/>
            <w:vAlign w:val="center"/>
          </w:tcPr>
          <w:p>
            <w:r/>
            <w:r>
              <w:rPr>
                <w:rFonts w:ascii="Aptos" w:hAnsi="Aptos"/>
                <w:b w:val="0"/>
                <w:color w:val="1F1F1F"/>
                <w:sz w:val="17"/>
              </w:rPr>
              <w:t>La variable nombre, capturada con input() en la línea 18 de src/app.py y enviada a buscar_estudiante(nombre).</w:t>
            </w:r>
          </w:p>
        </w:tc>
      </w:tr>
      <w:tr>
        <w:tc>
          <w:tcPr>
            <w:tcW w:type="dxa" w:w="5112"/>
            <w:vAlign w:val="center"/>
            <w:shd w:fill="F7F9FC"/>
          </w:tcPr>
          <w:p>
            <w:r/>
            <w:r>
              <w:rPr>
                <w:rFonts w:ascii="Aptos" w:hAnsi="Aptos"/>
                <w:b w:val="0"/>
                <w:color w:val="1F1F1F"/>
                <w:sz w:val="17"/>
              </w:rPr>
              <w:t>¿A dónde llega ese dato?</w:t>
            </w:r>
          </w:p>
        </w:tc>
        <w:tc>
          <w:tcPr>
            <w:tcW w:type="dxa" w:w="5112"/>
            <w:vAlign w:val="center"/>
            <w:shd w:fill="F7F9FC"/>
          </w:tcPr>
          <w:p>
            <w:r/>
            <w:r>
              <w:rPr>
                <w:rFonts w:ascii="Aptos" w:hAnsi="Aptos"/>
                <w:b w:val="0"/>
                <w:color w:val="1F1F1F"/>
                <w:sz w:val="17"/>
              </w:rPr>
              <w:t>Se concatena dentro del texto de la consulta SQL (líneas 7–11) y llega al sink cursor.execute(consulta) de la línea 12, que la ejecuta contra securecampus.db.</w:t>
            </w:r>
          </w:p>
        </w:tc>
      </w:tr>
      <w:tr>
        <w:tc>
          <w:tcPr>
            <w:tcW w:type="dxa" w:w="5112"/>
            <w:vAlign w:val="center"/>
          </w:tcPr>
          <w:p>
            <w:r/>
            <w:r>
              <w:rPr>
                <w:rFonts w:ascii="Aptos" w:hAnsi="Aptos"/>
                <w:b w:val="0"/>
                <w:color w:val="1F1F1F"/>
                <w:sz w:val="17"/>
              </w:rPr>
              <w:t>¿Qué riesgo observas?</w:t>
            </w:r>
          </w:p>
        </w:tc>
        <w:tc>
          <w:tcPr>
            <w:tcW w:type="dxa" w:w="5112"/>
            <w:vAlign w:val="center"/>
          </w:tcPr>
          <w:p>
            <w:r/>
            <w:r>
              <w:rPr>
                <w:rFonts w:ascii="Aptos" w:hAnsi="Aptos"/>
                <w:b w:val="0"/>
                <w:color w:val="1F1F1F"/>
                <w:sz w:val="17"/>
              </w:rPr>
              <w:t>Inyección SQL (CWE-89, OWASP A03): una entrada como ' OR '1'='1 cambia la estructura del WHERE y devuelve todos los estudiantes con su nombre y correo.</w:t>
            </w:r>
          </w:p>
        </w:tc>
      </w:tr>
      <w:tr>
        <w:tc>
          <w:tcPr>
            <w:tcW w:type="dxa" w:w="5112"/>
            <w:vAlign w:val="center"/>
            <w:shd w:fill="F7F9FC"/>
          </w:tcPr>
          <w:p>
            <w:r/>
            <w:r>
              <w:rPr>
                <w:rFonts w:ascii="Aptos" w:hAnsi="Aptos"/>
                <w:b w:val="0"/>
                <w:color w:val="1F1F1F"/>
                <w:sz w:val="17"/>
              </w:rPr>
              <w:t>¿Qué control propondrías?</w:t>
            </w:r>
          </w:p>
        </w:tc>
        <w:tc>
          <w:tcPr>
            <w:tcW w:type="dxa" w:w="5112"/>
            <w:vAlign w:val="center"/>
            <w:shd w:fill="F7F9FC"/>
          </w:tcPr>
          <w:p>
            <w:r/>
            <w:r>
              <w:rPr>
                <w:rFonts w:ascii="Aptos" w:hAnsi="Aptos"/>
                <w:b w:val="0"/>
                <w:color w:val="1F1F1F"/>
                <w:sz w:val="17"/>
              </w:rPr>
              <w:t>Consulta parametrizada (marcador ? y el valor en una tupla aparte), validación de longitud/formato del nombre y una cuenta de base de datos con privilegio mínimo.</w:t>
            </w:r>
          </w:p>
        </w:tc>
      </w:tr>
    </w:tbl>
    <w:p>
      <w:pPr>
        <w:pStyle w:val="Heading2"/>
      </w:pPr>
      <w:r>
        <w:t>4.2 Ejecuta Semgrep</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docker run --rm -v "${PWD}:/src" semgrep/semgrep semgrep scan --config auto /src/src</w:t>
            </w:r>
          </w:p>
        </w:tc>
      </w:tr>
    </w:tbl>
    <w:p>
      <w:r>
        <w:t>Registra el hallazgo principal. Observa la relación source → flow → sink y la línea señalada por la herramienta.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Evidencia SAST</w:t>
            </w:r>
          </w:p>
        </w:tc>
        <w:tc>
          <w:tcPr>
            <w:tcW w:type="dxa" w:w="5112"/>
            <w:vAlign w:val="center"/>
            <w:shd w:fill="17365D"/>
          </w:tcPr>
          <w:p>
            <w:r/>
            <w:r>
              <w:rPr>
                <w:rFonts w:ascii="Aptos" w:hAnsi="Aptos"/>
                <w:b/>
                <w:color w:val="FFFFFF"/>
                <w:sz w:val="16"/>
              </w:rPr>
              <w:t>Registro</w:t>
            </w:r>
          </w:p>
        </w:tc>
      </w:tr>
      <w:tr>
        <w:tc>
          <w:tcPr>
            <w:tcW w:type="dxa" w:w="5112"/>
            <w:vAlign w:val="center"/>
          </w:tcPr>
          <w:p>
            <w:r/>
            <w:r>
              <w:rPr>
                <w:rFonts w:ascii="Aptos" w:hAnsi="Aptos"/>
                <w:b w:val="0"/>
                <w:color w:val="1F1F1F"/>
                <w:sz w:val="16"/>
              </w:rPr>
              <w:t>Regla/hallazgo</w:t>
            </w:r>
          </w:p>
        </w:tc>
        <w:tc>
          <w:tcPr>
            <w:tcW w:type="dxa" w:w="5112"/>
            <w:vAlign w:val="center"/>
          </w:tcPr>
          <w:p>
            <w:r/>
            <w:r>
              <w:rPr>
                <w:rFonts w:ascii="Aptos" w:hAnsi="Aptos"/>
                <w:b w:val="0"/>
                <w:color w:val="1F1F1F"/>
                <w:sz w:val="16"/>
              </w:rPr>
              <w:t>python.sqlalchemy.security.sqlalchemy-execute-raw-query (bloqueante): “untrusted input concatenated with raw SQL query can result in SQL Injection”. Bandit lo confirma como B608 hardcoded_sql_expressions (CWE-89).</w:t>
            </w:r>
          </w:p>
        </w:tc>
      </w:tr>
      <w:tr>
        <w:tc>
          <w:tcPr>
            <w:tcW w:type="dxa" w:w="5112"/>
            <w:vAlign w:val="center"/>
            <w:shd w:fill="F7F9FC"/>
          </w:tcPr>
          <w:p>
            <w:r/>
            <w:r>
              <w:rPr>
                <w:rFonts w:ascii="Aptos" w:hAnsi="Aptos"/>
                <w:b w:val="0"/>
                <w:color w:val="1F1F1F"/>
                <w:sz w:val="16"/>
              </w:rPr>
              <w:t>Archivo/línea</w:t>
            </w:r>
          </w:p>
        </w:tc>
        <w:tc>
          <w:tcPr>
            <w:tcW w:type="dxa" w:w="5112"/>
            <w:vAlign w:val="center"/>
            <w:shd w:fill="F7F9FC"/>
          </w:tcPr>
          <w:p>
            <w:r/>
            <w:r>
              <w:rPr>
                <w:rFonts w:ascii="Aptos" w:hAnsi="Aptos"/>
                <w:b w:val="0"/>
                <w:color w:val="1F1F1F"/>
                <w:sz w:val="16"/>
              </w:rPr>
              <w:t>src/app.py, línea 12: cursor.execute(consulta). La cadena SQL se arma en las líneas 7–11.</w:t>
            </w:r>
          </w:p>
        </w:tc>
      </w:tr>
      <w:tr>
        <w:tc>
          <w:tcPr>
            <w:tcW w:type="dxa" w:w="5112"/>
            <w:vAlign w:val="center"/>
          </w:tcPr>
          <w:p>
            <w:r/>
            <w:r>
              <w:rPr>
                <w:rFonts w:ascii="Aptos" w:hAnsi="Aptos"/>
                <w:b w:val="0"/>
                <w:color w:val="1F1F1F"/>
                <w:sz w:val="16"/>
              </w:rPr>
              <w:t>¿Qué evidencia aporta?</w:t>
            </w:r>
          </w:p>
        </w:tc>
        <w:tc>
          <w:tcPr>
            <w:tcW w:type="dxa" w:w="5112"/>
            <w:vAlign w:val="center"/>
          </w:tcPr>
          <w:p>
            <w:r/>
            <w:r>
              <w:rPr>
                <w:rFonts w:ascii="Aptos" w:hAnsi="Aptos"/>
                <w:b w:val="0"/>
                <w:color w:val="1F1F1F"/>
                <w:sz w:val="16"/>
              </w:rPr>
              <w:t>Muestra la ruta source → flow → sink sin ejecutar la aplicación: el dato de input() se concatena al SQL y llega a execute(). Señala un patrón inseguro; no demuestra por sí solo que sea explotable.</w:t>
            </w:r>
          </w:p>
        </w:tc>
      </w:tr>
      <w:tr>
        <w:tc>
          <w:tcPr>
            <w:tcW w:type="dxa" w:w="5112"/>
            <w:vAlign w:val="center"/>
            <w:shd w:fill="F7F9FC"/>
          </w:tcPr>
          <w:p>
            <w:r/>
            <w:r>
              <w:rPr>
                <w:rFonts w:ascii="Aptos" w:hAnsi="Aptos"/>
                <w:b w:val="0"/>
                <w:color w:val="1F1F1F"/>
                <w:sz w:val="16"/>
              </w:rPr>
              <w:t>¿Coincide con tu análisis humano?</w:t>
            </w:r>
          </w:p>
        </w:tc>
        <w:tc>
          <w:tcPr>
            <w:tcW w:type="dxa" w:w="5112"/>
            <w:vAlign w:val="center"/>
            <w:shd w:fill="F7F9FC"/>
          </w:tcPr>
          <w:p>
            <w:r/>
            <w:r>
              <w:rPr>
                <w:rFonts w:ascii="Aptos" w:hAnsi="Aptos"/>
                <w:b w:val="0"/>
                <w:color w:val="1F1F1F"/>
                <w:sz w:val="16"/>
              </w:rPr>
              <w:t>Sí, señala el mismo sink que identificamos a mano. El impacto (exposición de correos de estudiantes) no lo explica la herramienta; lo aportó el análisis humano.</w:t>
            </w:r>
          </w:p>
        </w:tc>
      </w:tr>
    </w:tbl>
    <w:p>
      <w:pPr>
        <w:pStyle w:val="Heading2"/>
      </w:pPr>
      <w:r>
        <w:t>4.3 Corrige y reanaliza</w:t>
      </w:r>
    </w:p>
    <w:p>
      <w:r>
        <w:t>Sustituye la concatenación de datos dentro del SQL por una consulta parametrizada:</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consulta = (</w:t>
              <w:br/>
              <w:t xml:space="preserve">    "SELECT id, nombre, correo "</w:t>
              <w:br/>
              <w:t xml:space="preserve">    "FROM estudiantes "</w:t>
              <w:br/>
              <w:t xml:space="preserve">    "WHERE nombre = ?"</w:t>
              <w:br/>
              <w:t>)</w:t>
              <w:br/>
              <w:t>cursor.execute(consulta, (nombre,))</w:t>
            </w:r>
          </w:p>
        </w:tc>
      </w:tr>
    </w:tbl>
    <w:p>
      <w:r>
        <w:t>Ejecuta nuevamente Semgrep y registra el resultado. Un resultado de 0 findings significa que las reglas ejecutadas no reportaron hallazgos en ese momento; no significa que toda la aplicación sea segura.</w:t>
      </w:r>
    </w:p>
    <w:p>
      <w:r>
        <w:rPr>
          <w:b/>
        </w:rPr>
        <w:t xml:space="preserve">Resultado del equipo: </w:t>
      </w:r>
      <w:r>
        <w:t>tras parametrizar la consulta, Semgrep reportó 0 findings en src/app.py (290 reglas) y Bandit “No issues identified”. En src/webapp.py Semgrep mantiene la regla de auditoría render-template-string (líneas 28 y 46); la revisamos: la plantilla es una cadena constante y la entrada viaja como variable, por lo que se documenta como aceptada.</w:t>
      </w:r>
    </w:p>
    <w:p>
      <w:pPr>
        <w:pStyle w:val="Heading1"/>
      </w:pPr>
      <w:r>
        <w:t>5. Parte B · DAST con OWASP ZAP</w:t>
      </w:r>
    </w:p>
    <w:p>
      <w:pPr>
        <w:pStyle w:val="Heading2"/>
      </w:pPr>
      <w:r>
        <w:t>5.1 Inicia la aplicación</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python src\webapp.py</w:t>
            </w:r>
          </w:p>
        </w:tc>
      </w:tr>
    </w:tbl>
    <w:p>
      <w:r>
        <w:t>Mantén Flask ejecutándose en una terminal. En otra terminal comprueba que un contenedor Docker pueda llegar al servicio:</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docker run --rm curlimages/curl http://host.docker.internal:5000</w:t>
            </w:r>
          </w:p>
        </w:tc>
      </w:tr>
    </w:tbl>
    <w:p>
      <w:pPr>
        <w:pStyle w:val="Heading2"/>
      </w:pPr>
      <w:r>
        <w:t>5.2 Baseline: observación pasiva</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docker run --rm -t ghcr.io/zaproxy/zaproxy:stable zap-baseline.py -t http://host.docker.internal:5000</w:t>
            </w:r>
          </w:p>
        </w:tc>
      </w:tr>
    </w:tbl>
    <w:p>
      <w:r>
        <w:t>Registra los WARN principales. No corrijas automáticamente todo lo que aparezca: primero interpreta contexto, evidencia y aplicabilidad.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rFonts w:ascii="Aptos" w:hAnsi="Aptos"/>
                <w:b/>
                <w:color w:val="FFFFFF"/>
                <w:sz w:val="15"/>
              </w:rPr>
              <w:t>Hallazgo baseline</w:t>
            </w:r>
          </w:p>
        </w:tc>
        <w:tc>
          <w:tcPr>
            <w:tcW w:type="dxa" w:w="3408"/>
            <w:vAlign w:val="center"/>
            <w:shd w:fill="17365D"/>
          </w:tcPr>
          <w:p>
            <w:r/>
            <w:r>
              <w:rPr>
                <w:rFonts w:ascii="Aptos" w:hAnsi="Aptos"/>
                <w:b/>
                <w:color w:val="FFFFFF"/>
                <w:sz w:val="15"/>
              </w:rPr>
              <w:t>¿Qué observa?</w:t>
            </w:r>
          </w:p>
        </w:tc>
        <w:tc>
          <w:tcPr>
            <w:tcW w:type="dxa" w:w="3408"/>
            <w:vAlign w:val="center"/>
            <w:shd w:fill="17365D"/>
          </w:tcPr>
          <w:p>
            <w:r/>
            <w:r>
              <w:rPr>
                <w:rFonts w:ascii="Aptos" w:hAnsi="Aptos"/>
                <w:b/>
                <w:color w:val="FFFFFF"/>
                <w:sz w:val="15"/>
              </w:rPr>
              <w:t>¿Requiere análisis?</w:t>
            </w:r>
          </w:p>
        </w:tc>
      </w:tr>
      <w:tr>
        <w:tc>
          <w:tcPr>
            <w:tcW w:type="dxa" w:w="3408"/>
            <w:vAlign w:val="center"/>
          </w:tcPr>
          <w:p>
            <w:r/>
            <w:r>
              <w:rPr>
                <w:rFonts w:ascii="Aptos" w:hAnsi="Aptos"/>
                <w:b w:val="0"/>
                <w:color w:val="1F1F1F"/>
                <w:sz w:val="15"/>
              </w:rPr>
              <w:t>Missing Anti-clickjacking Header</w:t>
            </w:r>
          </w:p>
        </w:tc>
        <w:tc>
          <w:tcPr>
            <w:tcW w:type="dxa" w:w="3408"/>
            <w:vAlign w:val="center"/>
          </w:tcPr>
          <w:p>
            <w:r/>
            <w:r>
              <w:rPr>
                <w:rFonts w:ascii="Aptos" w:hAnsi="Aptos"/>
                <w:b w:val="0"/>
                <w:color w:val="1F1F1F"/>
                <w:sz w:val="15"/>
              </w:rPr>
              <w:t>Cabecera HTTP</w:t>
            </w:r>
          </w:p>
        </w:tc>
        <w:tc>
          <w:tcPr>
            <w:tcW w:type="dxa" w:w="3408"/>
            <w:vAlign w:val="center"/>
          </w:tcPr>
          <w:p>
            <w:r/>
            <w:r>
              <w:rPr>
                <w:rFonts w:ascii="Aptos" w:hAnsi="Aptos"/>
                <w:b w:val="0"/>
                <w:color w:val="1F1F1F"/>
                <w:sz w:val="15"/>
              </w:rPr>
              <w:t>Sí</w:t>
            </w:r>
          </w:p>
        </w:tc>
      </w:tr>
      <w:tr>
        <w:tc>
          <w:tcPr>
            <w:tcW w:type="dxa" w:w="3408"/>
            <w:vAlign w:val="center"/>
            <w:shd w:fill="F7F9FC"/>
          </w:tcPr>
          <w:p>
            <w:r/>
            <w:r>
              <w:rPr>
                <w:rFonts w:ascii="Aptos" w:hAnsi="Aptos"/>
                <w:b w:val="0"/>
                <w:color w:val="1F1F1F"/>
                <w:sz w:val="15"/>
              </w:rPr>
              <w:t>X-Content-Type-Options Header Missing</w:t>
            </w:r>
          </w:p>
        </w:tc>
        <w:tc>
          <w:tcPr>
            <w:tcW w:type="dxa" w:w="3408"/>
            <w:vAlign w:val="center"/>
            <w:shd w:fill="F7F9FC"/>
          </w:tcPr>
          <w:p>
            <w:r/>
            <w:r>
              <w:rPr>
                <w:rFonts w:ascii="Aptos" w:hAnsi="Aptos"/>
                <w:b w:val="0"/>
                <w:color w:val="1F1F1F"/>
                <w:sz w:val="15"/>
              </w:rPr>
              <w:t>Cabecera HTTP</w:t>
            </w:r>
          </w:p>
        </w:tc>
        <w:tc>
          <w:tcPr>
            <w:tcW w:type="dxa" w:w="3408"/>
            <w:vAlign w:val="center"/>
            <w:shd w:fill="F7F9FC"/>
          </w:tcPr>
          <w:p>
            <w:r/>
            <w:r>
              <w:rPr>
                <w:rFonts w:ascii="Aptos" w:hAnsi="Aptos"/>
                <w:b w:val="0"/>
                <w:color w:val="1F1F1F"/>
                <w:sz w:val="15"/>
              </w:rPr>
              <w:t>Sí</w:t>
            </w:r>
          </w:p>
        </w:tc>
      </w:tr>
      <w:tr>
        <w:tc>
          <w:tcPr>
            <w:tcW w:type="dxa" w:w="3408"/>
            <w:vAlign w:val="center"/>
          </w:tcPr>
          <w:p>
            <w:r/>
            <w:r>
              <w:rPr>
                <w:rFonts w:ascii="Aptos" w:hAnsi="Aptos"/>
                <w:b w:val="0"/>
                <w:color w:val="1F1F1F"/>
                <w:sz w:val="15"/>
              </w:rPr>
              <w:t>CSP Header Not Set</w:t>
            </w:r>
          </w:p>
        </w:tc>
        <w:tc>
          <w:tcPr>
            <w:tcW w:type="dxa" w:w="3408"/>
            <w:vAlign w:val="center"/>
          </w:tcPr>
          <w:p>
            <w:r/>
            <w:r>
              <w:rPr>
                <w:rFonts w:ascii="Aptos" w:hAnsi="Aptos"/>
                <w:b w:val="0"/>
                <w:color w:val="1F1F1F"/>
                <w:sz w:val="15"/>
              </w:rPr>
              <w:t>Política de contenido</w:t>
            </w:r>
          </w:p>
        </w:tc>
        <w:tc>
          <w:tcPr>
            <w:tcW w:type="dxa" w:w="3408"/>
            <w:vAlign w:val="center"/>
          </w:tcPr>
          <w:p>
            <w:r/>
            <w:r>
              <w:rPr>
                <w:rFonts w:ascii="Aptos" w:hAnsi="Aptos"/>
                <w:b w:val="0"/>
                <w:color w:val="1F1F1F"/>
                <w:sz w:val="15"/>
              </w:rPr>
              <w:t>Sí</w:t>
            </w:r>
          </w:p>
        </w:tc>
      </w:tr>
      <w:tr>
        <w:tc>
          <w:tcPr>
            <w:tcW w:type="dxa" w:w="3408"/>
            <w:vAlign w:val="center"/>
            <w:shd w:fill="F7F9FC"/>
          </w:tcPr>
          <w:p>
            <w:r/>
            <w:r>
              <w:rPr>
                <w:rFonts w:ascii="Aptos" w:hAnsi="Aptos"/>
                <w:b w:val="0"/>
                <w:color w:val="1F1F1F"/>
                <w:sz w:val="15"/>
              </w:rPr>
              <w:t>Otro: Server Leaks Version Information [10036]</w:t>
            </w:r>
          </w:p>
        </w:tc>
        <w:tc>
          <w:tcPr>
            <w:tcW w:type="dxa" w:w="3408"/>
            <w:vAlign w:val="center"/>
            <w:shd w:fill="F7F9FC"/>
          </w:tcPr>
          <w:p>
            <w:r/>
            <w:r>
              <w:rPr>
                <w:rFonts w:ascii="Aptos" w:hAnsi="Aptos"/>
                <w:b w:val="0"/>
                <w:color w:val="1F1F1F"/>
                <w:sz w:val="15"/>
              </w:rPr>
              <w:t>Cabecera Server: Werkzeug/3.1.8 Python/3.13.15</w:t>
            </w:r>
          </w:p>
        </w:tc>
        <w:tc>
          <w:tcPr>
            <w:tcW w:type="dxa" w:w="3408"/>
            <w:vAlign w:val="center"/>
            <w:shd w:fill="F7F9FC"/>
          </w:tcPr>
          <w:p>
            <w:r/>
            <w:r>
              <w:rPr>
                <w:rFonts w:ascii="Aptos" w:hAnsi="Aptos"/>
                <w:b w:val="0"/>
                <w:color w:val="1F1F1F"/>
                <w:sz w:val="15"/>
              </w:rPr>
              <w:t>Sí (riesgo bajo)</w:t>
            </w:r>
          </w:p>
        </w:tc>
      </w:tr>
    </w:tbl>
    <w:p>
      <w:pPr>
        <w:pStyle w:val="Heading2"/>
      </w:pPr>
      <w:r>
        <w:t>5.3 Active Scan: interacción deliberada</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docker run --rm -t ghcr.io/zaproxy/zaproxy:stable zap-full-scan.py -t http://host.docker.internal:5000</w:t>
            </w:r>
          </w:p>
        </w:tc>
      </w:tr>
    </w:tbl>
    <w:p>
      <w:r>
        <w:t>Localiza Cross Site Scripting (Reflected) [40012]. Observa el endpoint /buscar?nombre=... y el código HTTP devuelto. Recuerda: una vulnerabilidad puede existir aunque la respuesta sea 200 OK.</w:t>
      </w:r>
    </w:p>
    <w:p>
      <w:r>
        <w:rPr>
          <w:b/>
        </w:rPr>
        <w:t xml:space="preserve">Resultado del equipo: </w:t>
      </w:r>
      <w:r>
        <w:t>Cross Site Scripting (Reflected) [40012] en GET /buscar, parámetro nombre. La respuesta fue HTTP/1.1 200 OK y el cuerpo contenía &lt;p&gt;Estudiante buscado: &lt;script&gt;alert(1)&lt;/script&gt;&lt;/p&gt;, sin codificar.</w:t>
      </w:r>
    </w:p>
    <w:p>
      <w:pPr>
        <w:pStyle w:val="Heading2"/>
      </w:pPr>
      <w:r>
        <w:t>5.4 Validación manual del XSS</w:t>
      </w:r>
    </w:p>
    <w:p>
      <w:r>
        <w:t>En la aplicación local, introduce como nombre:</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&lt;script&gt;alert(1)&lt;/script&gt;</w:t>
            </w:r>
          </w:p>
        </w:tc>
      </w:tr>
    </w:tbl>
    <w:p>
      <w:r>
        <w:t>Si aparece una ventana alert(1), registra la evidencia como confirmación manual del comportamiento vulnerable.</w:t>
      </w:r>
    </w:p>
    <w:p>
      <w:r>
        <w:rPr>
          <w:b/>
        </w:rPr>
        <w:t xml:space="preserve">Resultado del equipo: </w:t>
      </w:r>
      <w:r>
        <w:t>apareció alert(1): la entrada se refleja como HTML ejecutable. Además, con {{7*7}} la página mostró 49; el f-string dentro de render_template_string también permitía inyección de plantillas (SSTI), un riesgo mayor que el XSS.</w:t>
      </w:r>
    </w:p>
    <w:p>
      <w:pPr>
        <w:pStyle w:val="Heading2"/>
      </w:pPr>
      <w:r>
        <w:t>5.5 Registra la línea base vulnerable en Git</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git add src/webapp.py</w:t>
              <w:br/>
              <w:t>git diff --staged</w:t>
              <w:br/>
              <w:t>git commit -m "lab: agregar aplicacion vulnerable para analisis DAST"</w:t>
              <w:br/>
              <w:t>git status</w:t>
            </w:r>
          </w:p>
        </w:tc>
      </w:tr>
    </w:tbl>
    <w:p>
      <w:pPr>
        <w:pStyle w:val="Heading2"/>
      </w:pPr>
      <w:r>
        <w:t>5.6 Corrige el XSS</w:t>
      </w:r>
    </w:p>
    <w:p>
      <w:r>
        <w:t>Evita insertar directamente la entrada del usuario con un f-string. Renderiza el valor como variable de plantilla para aplicar escaping:</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resultado_html = """</w:t>
              <w:br/>
              <w:t>...</w:t>
              <w:br/>
              <w:t>&lt;p&gt;Estudiante buscado: {{ nombre }}&lt;/p&gt;</w:t>
              <w:br/>
              <w:t>...</w:t>
              <w:br/>
              <w:t>"""</w:t>
              <w:br/>
              <w:t>return render_template_string(resultado_html, nombre=nombre)</w:t>
            </w:r>
          </w:p>
        </w:tc>
      </w:tr>
    </w:tbl>
    <w:p>
      <w:r>
        <w:t>Reinicia Flask antes del retest. Este paso es obligatorio: modificar el archivo no garantiza que la instancia en ejecución ya contenga el cambio.</w:t>
      </w:r>
    </w:p>
    <w:p>
      <w:pPr>
        <w:pStyle w:val="Heading2"/>
      </w:pPr>
      <w:r>
        <w:t>5.7 Retesting</w:t>
      </w:r>
    </w:p>
    <w:p>
      <w:pPr>
        <w:pStyle w:val="ListBullet"/>
      </w:pPr>
      <w:r>
        <w:t>Prueba una búsqueda normal: María debe seguir funcionando.</w:t>
      </w:r>
    </w:p>
    <w:p>
      <w:pPr>
        <w:pStyle w:val="ListBullet"/>
      </w:pPr>
      <w:r>
        <w:t>Repite &lt;script&gt;alert(1)&lt;/script&gt;: debe mostrarse como texto y no ejecutarse.</w:t>
      </w:r>
    </w:p>
    <w:p>
      <w:pPr>
        <w:pStyle w:val="ListBullet"/>
      </w:pPr>
      <w:r>
        <w:t>Ejecuta nuevamente zap-full-scan.py.</w:t>
      </w:r>
    </w:p>
    <w:p>
      <w:pPr>
        <w:pStyle w:val="ListBullet"/>
      </w:pPr>
      <w:r>
        <w:t>Comprueba que Cross Site Scripting (Reflected) [40012] pase de WARN a PASS.</w:t>
      </w:r>
    </w:p>
    <w:p>
      <w:pPr>
        <w:pStyle w:val="ListBullet"/>
      </w:pPr>
      <w:r>
        <w:t>Observa qué advertencias permanecen y explica por qué no desaparecieron.</w:t>
      </w:r>
    </w:p>
    <w:p>
      <w:r>
        <w:rPr>
          <w:b/>
        </w:rPr>
        <w:t xml:space="preserve">Resultado del equipo: </w:t>
      </w:r>
      <w:r>
        <w:t>“María” se sigue mostrando bien; el payload regresa como &amp;lt;script&amp;gt;alert(1)&amp;lt;/script&amp;gt; y se ve como texto, y {{7*7}} ya no se evalúa. La prueba tests/test_webapp_security.py termina en OK y la regla 40012 pasa a PASS. Permanecen los WARN de cabeceras (anti-clickjacking, X-Content-Type-Options, CSP) y de versión del servidor porque son configuración de la respuesta HTTP: la corrección solo cambió cómo se renderiza el dato. Se resuelven agregando cabeceras de seguridad (after_request o Flask-Talisman).</w:t>
      </w:r>
    </w:p>
    <w:p>
      <w:pPr>
        <w:pStyle w:val="Heading1"/>
      </w:pPr>
      <w:r>
        <w:t>6. Comparación SAST vs DAST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rFonts w:ascii="Aptos" w:hAnsi="Aptos"/>
                <w:b/>
                <w:color w:val="FFFFFF"/>
                <w:sz w:val="15"/>
              </w:rPr>
              <w:t>Criterio</w:t>
            </w:r>
          </w:p>
        </w:tc>
        <w:tc>
          <w:tcPr>
            <w:tcW w:type="dxa" w:w="3408"/>
            <w:vAlign w:val="center"/>
            <w:shd w:fill="17365D"/>
          </w:tcPr>
          <w:p>
            <w:r/>
            <w:r>
              <w:rPr>
                <w:rFonts w:ascii="Aptos" w:hAnsi="Aptos"/>
                <w:b/>
                <w:color w:val="FFFFFF"/>
                <w:sz w:val="15"/>
              </w:rPr>
              <w:t>SAST</w:t>
            </w:r>
          </w:p>
        </w:tc>
        <w:tc>
          <w:tcPr>
            <w:tcW w:type="dxa" w:w="3408"/>
            <w:vAlign w:val="center"/>
            <w:shd w:fill="17365D"/>
          </w:tcPr>
          <w:p>
            <w:r/>
            <w:r>
              <w:rPr>
                <w:rFonts w:ascii="Aptos" w:hAnsi="Aptos"/>
                <w:b/>
                <w:color w:val="FFFFFF"/>
                <w:sz w:val="15"/>
              </w:rPr>
              <w:t>DAST</w:t>
            </w:r>
          </w:p>
        </w:tc>
      </w:tr>
      <w:tr>
        <w:tc>
          <w:tcPr>
            <w:tcW w:type="dxa" w:w="3408"/>
            <w:vAlign w:val="center"/>
          </w:tcPr>
          <w:p>
            <w:r/>
            <w:r>
              <w:rPr>
                <w:rFonts w:ascii="Aptos" w:hAnsi="Aptos"/>
                <w:b w:val="0"/>
                <w:color w:val="1F1F1F"/>
                <w:sz w:val="15"/>
              </w:rPr>
              <w:t>Objeto</w:t>
            </w:r>
          </w:p>
        </w:tc>
        <w:tc>
          <w:tcPr>
            <w:tcW w:type="dxa" w:w="3408"/>
            <w:vAlign w:val="center"/>
          </w:tcPr>
          <w:p>
            <w:r/>
            <w:r>
              <w:rPr>
                <w:rFonts w:ascii="Aptos" w:hAnsi="Aptos"/>
                <w:b w:val="0"/>
                <w:color w:val="1F1F1F"/>
                <w:sz w:val="15"/>
              </w:rPr>
              <w:t>Código fuente</w:t>
            </w:r>
          </w:p>
        </w:tc>
        <w:tc>
          <w:tcPr>
            <w:tcW w:type="dxa" w:w="3408"/>
            <w:vAlign w:val="center"/>
          </w:tcPr>
          <w:p>
            <w:r/>
            <w:r>
              <w:rPr>
                <w:rFonts w:ascii="Aptos" w:hAnsi="Aptos"/>
                <w:b w:val="0"/>
                <w:color w:val="1F1F1F"/>
                <w:sz w:val="15"/>
              </w:rPr>
              <w:t>Aplicación en ejecución</w:t>
            </w:r>
          </w:p>
        </w:tc>
      </w:tr>
      <w:tr>
        <w:tc>
          <w:tcPr>
            <w:tcW w:type="dxa" w:w="3408"/>
            <w:vAlign w:val="center"/>
            <w:shd w:fill="F7F9FC"/>
          </w:tcPr>
          <w:p>
            <w:r/>
            <w:r>
              <w:rPr>
                <w:rFonts w:ascii="Aptos" w:hAnsi="Aptos"/>
                <w:b w:val="0"/>
                <w:color w:val="1F1F1F"/>
                <w:sz w:val="15"/>
              </w:rPr>
              <w:t>Necesita ejecutar app</w:t>
            </w:r>
          </w:p>
        </w:tc>
        <w:tc>
          <w:tcPr>
            <w:tcW w:type="dxa" w:w="3408"/>
            <w:vAlign w:val="center"/>
            <w:shd w:fill="F7F9FC"/>
          </w:tcPr>
          <w:p>
            <w:r/>
            <w:r>
              <w:rPr>
                <w:rFonts w:ascii="Aptos" w:hAnsi="Aptos"/>
                <w:b w:val="0"/>
                <w:color w:val="1F1F1F"/>
                <w:sz w:val="15"/>
              </w:rPr>
              <w:t>No</w:t>
            </w:r>
          </w:p>
        </w:tc>
        <w:tc>
          <w:tcPr>
            <w:tcW w:type="dxa" w:w="3408"/>
            <w:vAlign w:val="center"/>
            <w:shd w:fill="F7F9FC"/>
          </w:tcPr>
          <w:p>
            <w:r/>
            <w:r>
              <w:rPr>
                <w:rFonts w:ascii="Aptos" w:hAnsi="Aptos"/>
                <w:b w:val="0"/>
                <w:color w:val="1F1F1F"/>
                <w:sz w:val="15"/>
              </w:rPr>
              <w:t>Sí</w:t>
            </w:r>
          </w:p>
        </w:tc>
      </w:tr>
      <w:tr>
        <w:tc>
          <w:tcPr>
            <w:tcW w:type="dxa" w:w="3408"/>
            <w:vAlign w:val="center"/>
          </w:tcPr>
          <w:p>
            <w:r/>
            <w:r>
              <w:rPr>
                <w:rFonts w:ascii="Aptos" w:hAnsi="Aptos"/>
                <w:b w:val="0"/>
                <w:color w:val="1F1F1F"/>
                <w:sz w:val="15"/>
              </w:rPr>
              <w:t>Perspectiva</w:t>
            </w:r>
          </w:p>
        </w:tc>
        <w:tc>
          <w:tcPr>
            <w:tcW w:type="dxa" w:w="3408"/>
            <w:vAlign w:val="center"/>
          </w:tcPr>
          <w:p>
            <w:r/>
            <w:r>
              <w:rPr>
                <w:rFonts w:ascii="Aptos" w:hAnsi="Aptos"/>
                <w:b w:val="0"/>
                <w:color w:val="1F1F1F"/>
                <w:sz w:val="15"/>
              </w:rPr>
              <w:t>Interna/estática</w:t>
            </w:r>
          </w:p>
        </w:tc>
        <w:tc>
          <w:tcPr>
            <w:tcW w:type="dxa" w:w="3408"/>
            <w:vAlign w:val="center"/>
          </w:tcPr>
          <w:p>
            <w:r/>
            <w:r>
              <w:rPr>
                <w:rFonts w:ascii="Aptos" w:hAnsi="Aptos"/>
                <w:b w:val="0"/>
                <w:color w:val="1F1F1F"/>
                <w:sz w:val="15"/>
              </w:rPr>
              <w:t>Externa/dinámica</w:t>
            </w:r>
          </w:p>
        </w:tc>
      </w:tr>
      <w:tr>
        <w:tc>
          <w:tcPr>
            <w:tcW w:type="dxa" w:w="3408"/>
            <w:vAlign w:val="center"/>
            <w:shd w:fill="F7F9FC"/>
          </w:tcPr>
          <w:p>
            <w:r/>
            <w:r>
              <w:rPr>
                <w:rFonts w:ascii="Aptos" w:hAnsi="Aptos"/>
                <w:b w:val="0"/>
                <w:color w:val="1F1F1F"/>
                <w:sz w:val="15"/>
              </w:rPr>
              <w:t>Evidencia del lab</w:t>
            </w:r>
          </w:p>
        </w:tc>
        <w:tc>
          <w:tcPr>
            <w:tcW w:type="dxa" w:w="3408"/>
            <w:vAlign w:val="center"/>
            <w:shd w:fill="F7F9FC"/>
          </w:tcPr>
          <w:p>
            <w:r/>
            <w:r>
              <w:rPr>
                <w:rFonts w:ascii="Aptos" w:hAnsi="Aptos"/>
                <w:b w:val="0"/>
                <w:color w:val="1F1F1F"/>
                <w:sz w:val="15"/>
              </w:rPr>
              <w:t>Construcción SQL insegura</w:t>
            </w:r>
          </w:p>
        </w:tc>
        <w:tc>
          <w:tcPr>
            <w:tcW w:type="dxa" w:w="3408"/>
            <w:vAlign w:val="center"/>
            <w:shd w:fill="F7F9FC"/>
          </w:tcPr>
          <w:p>
            <w:r/>
            <w:r>
              <w:rPr>
                <w:rFonts w:ascii="Aptos" w:hAnsi="Aptos"/>
                <w:b w:val="0"/>
                <w:color w:val="1F1F1F"/>
                <w:sz w:val="15"/>
              </w:rPr>
              <w:t>XSS y configuración HTTP</w:t>
            </w:r>
          </w:p>
        </w:tc>
      </w:tr>
      <w:tr>
        <w:tc>
          <w:tcPr>
            <w:tcW w:type="dxa" w:w="3408"/>
            <w:vAlign w:val="center"/>
          </w:tcPr>
          <w:p>
            <w:r/>
            <w:r>
              <w:rPr>
                <w:rFonts w:ascii="Aptos" w:hAnsi="Aptos"/>
                <w:b w:val="0"/>
                <w:color w:val="1F1F1F"/>
                <w:sz w:val="15"/>
              </w:rPr>
              <w:t>Fortaleza</w:t>
            </w:r>
          </w:p>
        </w:tc>
        <w:tc>
          <w:tcPr>
            <w:tcW w:type="dxa" w:w="3408"/>
            <w:vAlign w:val="center"/>
          </w:tcPr>
          <w:p>
            <w:r/>
            <w:r>
              <w:rPr>
                <w:rFonts w:ascii="Aptos" w:hAnsi="Aptos"/>
                <w:b w:val="0"/>
                <w:color w:val="1F1F1F"/>
                <w:sz w:val="15"/>
              </w:rPr>
              <w:t>Detecta patrones/rutas en código</w:t>
            </w:r>
          </w:p>
        </w:tc>
        <w:tc>
          <w:tcPr>
            <w:tcW w:type="dxa" w:w="3408"/>
            <w:vAlign w:val="center"/>
          </w:tcPr>
          <w:p>
            <w:r/>
            <w:r>
              <w:rPr>
                <w:rFonts w:ascii="Aptos" w:hAnsi="Aptos"/>
                <w:b w:val="0"/>
                <w:color w:val="1F1F1F"/>
                <w:sz w:val="15"/>
              </w:rPr>
              <w:t>Observa comportamiento real expuesto</w:t>
            </w:r>
          </w:p>
        </w:tc>
      </w:tr>
      <w:tr>
        <w:tc>
          <w:tcPr>
            <w:tcW w:type="dxa" w:w="3408"/>
            <w:vAlign w:val="center"/>
            <w:shd w:fill="F7F9FC"/>
          </w:tcPr>
          <w:p>
            <w:r/>
            <w:r>
              <w:rPr>
                <w:rFonts w:ascii="Aptos" w:hAnsi="Aptos"/>
                <w:b w:val="0"/>
                <w:color w:val="1F1F1F"/>
                <w:sz w:val="15"/>
              </w:rPr>
              <w:t>Límite</w:t>
            </w:r>
          </w:p>
        </w:tc>
        <w:tc>
          <w:tcPr>
            <w:tcW w:type="dxa" w:w="3408"/>
            <w:vAlign w:val="center"/>
            <w:shd w:fill="F7F9FC"/>
          </w:tcPr>
          <w:p>
            <w:r/>
            <w:r>
              <w:rPr>
                <w:rFonts w:ascii="Aptos" w:hAnsi="Aptos"/>
                <w:b w:val="0"/>
                <w:color w:val="1F1F1F"/>
                <w:sz w:val="15"/>
              </w:rPr>
              <w:t>No garantiza lógica de negocio</w:t>
            </w:r>
          </w:p>
        </w:tc>
        <w:tc>
          <w:tcPr>
            <w:tcW w:type="dxa" w:w="3408"/>
            <w:vAlign w:val="center"/>
            <w:shd w:fill="F7F9FC"/>
          </w:tcPr>
          <w:p>
            <w:r/>
            <w:r>
              <w:rPr>
                <w:rFonts w:ascii="Aptos" w:hAnsi="Aptos"/>
                <w:b w:val="0"/>
                <w:color w:val="1F1F1F"/>
                <w:sz w:val="15"/>
              </w:rPr>
              <w:t>No ve todo el código ni todas las rutas</w:t>
            </w:r>
          </w:p>
        </w:tc>
      </w:tr>
    </w:tbl>
    <w:p>
      <w:pPr>
        <w:pStyle w:val="Heading1"/>
      </w:pPr>
      <w:r>
        <w:t>7. Evidencia y entrega en GitHub</w:t>
      </w:r>
    </w:p>
    <w:p>
      <w:r>
        <w:t>Crea docs/security/SC-LAB-004-sast-dast.md e incluye: objetivo, entorno, análisis humano, comando y hallazgo SAST, corrección y reanálisis, baseline DAST, active scan, validación manual, corrección XSS, retesting y comparación final.</w:t>
      </w:r>
    </w:p>
    <w:tbl>
      <w:tblPr>
        <w:tblW w:type="auto" w:w="0"/>
        <w:tblLook w:firstColumn="1" w:firstRow="1" w:lastColumn="0" w:lastRow="0" w:noHBand="0" w:noVBand="1" w:val="04A0"/>
      </w:tblPr>
      <w:tblGrid>
        <w:gridCol w:w="10224"/>
      </w:tblGrid>
      <w:tr>
        <w:tc>
          <w:tcPr>
            <w:tcW w:type="dxa" w:w="10224"/>
            <w:shd w:fill="F2F2F2"/>
          </w:tcPr>
          <w:p>
            <w:r>
              <w:rPr>
                <w:rFonts w:ascii="Consolas" w:hAnsi="Consolas"/>
                <w:color w:val="1F1F1F"/>
                <w:sz w:val="17"/>
              </w:rPr>
              <w:t>git status</w:t>
              <w:br/>
              <w:t>git diff</w:t>
              <w:br/>
              <w:t>git add src/webapp.py docs/security/SC-LAB-004-sast-dast.md</w:t>
              <w:br/>
              <w:t>git diff --staged</w:t>
              <w:br/>
              <w:t>git commit -m "fix: aplicar escape de salida para prevenir XSS reflejado"</w:t>
              <w:br/>
              <w:t>git push</w:t>
              <w:br/>
              <w:t>git status</w:t>
            </w:r>
          </w:p>
        </w:tc>
      </w:tr>
    </w:tbl>
    <w:p>
      <w:pPr>
        <w:pStyle w:val="Heading1"/>
      </w:pPr>
      <w:r>
        <w:t>8. Reflexión</w:t>
      </w:r>
    </w:p>
    <w:p>
      <w:r>
        <w:t>1. ¿Por qué 0 findings en SAST no equivale a aplicación segura?</w:t>
      </w:r>
    </w:p>
    <w:p>
      <w:r>
        <w:t>Porque 0 findings solo significa que las reglas ejecutadas (290 con --config auto) no encontraron sus patrones en ese momento. En la práctica, Semgrep no detectó la misma inyección cuando la consulta se armaba con un f-string, pero sí cuando se concatenaba con +: hay falsos negativos. Además, SAST no ve configuración en ejecución, cabeceras HTTP, dependencias ni fallas de lógica de negocio o de autorización.</w:t>
      </w:r>
    </w:p>
    <w:p>
      <w:r>
        <w:t>2. ¿Por qué un WARN de ZAP debe validarse antes de declararlo vulnerabilidad?</w:t>
      </w:r>
    </w:p>
    <w:p>
      <w:r>
        <w:t>Porque un WARN es un indicio, no una explotación confirmada: puede ser un falso positivo o no aplicar al contexto (por ejemplo, un endpoint que no devuelve HTML). Hay que revisar la evidencia (petición, respuesta y parámetro), reproducirlo manualmente y valorar el impacto antes de clasificarlo y priorizarlo. Así no se reportan vulnerabilidades inexistentes ni se corrige a ciegas.</w:t>
      </w:r>
    </w:p>
    <w:p>
      <w:r>
        <w:t>3. ¿Qué diferencia observaste entre baseline y active scan?</w:t>
      </w:r>
    </w:p>
    <w:p>
      <w:r>
        <w:t>El baseline es pasivo: recorre la aplicación y solo observa las respuestas, por eso reportó cabeceras faltantes (anti-clickjacking, X-Content-Type-Options, CSP) y la versión del servidor, pero no el XSS. El active scan envía cargas maliciosas al parámetro nombre y analiza cómo responde la aplicación; así encontró el XSS reflejado [40012]. Es más invasivo y lento, y solo se usa contra sistemas autorizados.</w:t>
      </w:r>
    </w:p>
    <w:p>
      <w:r>
        <w:t>4. ¿Por qué 200 OK no descarta una vulnerabilidad?</w:t>
      </w:r>
    </w:p>
    <w:p>
      <w:r>
        <w:t>El código 200 solo indica que el servidor procesó la petición sin error, no qué hizo con los datos. En /buscar, el payload &lt;script&gt;alert(1)&lt;/script&gt; regresó con 200 OK y sin codificar, por lo que el navegador lo ejecutó. La vulnerabilidad está en el contenido de la respuesta, así que hay que inspeccionar el cuerpo y no solo el status.</w:t>
      </w:r>
    </w:p>
    <w:p>
      <w:r>
        <w:t>5. ¿Qué aprendiste del hecho de tener que reiniciar Flask antes del retest?</w:t>
      </w:r>
    </w:p>
    <w:p>
      <w:r>
        <w:t>Que el retest debe hacerse contra lo que realmente está en ejecución. Flask sin modo debug no recarga el código, así que la instancia seguía siendo vulnerable aunque el archivo ya estuviera corregido. Antes de declarar un PASS hay que confirmar que la versión corregida está desplegada (reiniciar o redesplegar); si no, se obtiene un resultado falso y se da por cerrada una corrección que no está activa.</w:t>
      </w:r>
    </w:p>
    <w:p>
      <w:r>
        <w:t>6. ¿Qué problema de autorización podría seguir existiendo aunque SAST y DAST no lo reporten?</w:t>
      </w:r>
    </w:p>
    <w:p>
      <w:r>
        <w:t>Control de acceso roto (OWASP A01) / IDOR: /buscar no exige autenticación ni verifica el rol, así que cualquier persona podría consultar el nombre y el correo de cualquier estudiante, o un alumno podría ver los datos de otro cambiando el parámetro. Las herramientas no conocen la regla de negocio de quién puede ver qué; eso requiere requisitos de autorización, revisión humana y pruebas negativas con distintos roles.</w:t>
      </w:r>
    </w:p>
    <w:p>
      <w:pPr>
        <w:pStyle w:val="Heading1"/>
      </w:pPr>
      <w:r>
        <w:t>9. Criterios de aceptación y rúbrica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7"/>
              </w:rPr>
              <w:t>Criterio</w:t>
            </w:r>
          </w:p>
        </w:tc>
        <w:tc>
          <w:tcPr>
            <w:tcW w:type="dxa" w:w="5112"/>
            <w:vAlign w:val="center"/>
            <w:shd w:fill="17365D"/>
          </w:tcPr>
          <w:p>
            <w:r/>
            <w:r>
              <w:rPr>
                <w:rFonts w:ascii="Aptos" w:hAnsi="Aptos"/>
                <w:b/>
                <w:color w:val="FFFFFF"/>
                <w:sz w:val="17"/>
              </w:rPr>
              <w:t>Puntos</w:t>
            </w:r>
          </w:p>
        </w:tc>
      </w:tr>
      <w:tr>
        <w:tc>
          <w:tcPr>
            <w:tcW w:type="dxa" w:w="5112"/>
            <w:vAlign w:val="center"/>
          </w:tcPr>
          <w:p>
            <w:r/>
            <w:r>
              <w:rPr>
                <w:rFonts w:ascii="Aptos" w:hAnsi="Aptos"/>
                <w:b w:val="0"/>
                <w:color w:val="1F1F1F"/>
                <w:sz w:val="17"/>
              </w:rPr>
              <w:t>Ejecución e interpretación SAST</w:t>
            </w:r>
          </w:p>
        </w:tc>
        <w:tc>
          <w:tcPr>
            <w:tcW w:type="dxa" w:w="5112"/>
            <w:vAlign w:val="center"/>
          </w:tcPr>
          <w:p>
            <w:r/>
            <w:r>
              <w:rPr>
                <w:rFonts w:ascii="Aptos" w:hAnsi="Aptos"/>
                <w:b w:val="0"/>
                <w:color w:val="1F1F1F"/>
                <w:sz w:val="17"/>
              </w:rPr>
              <w:t>20</w:t>
            </w:r>
          </w:p>
        </w:tc>
      </w:tr>
      <w:tr>
        <w:tc>
          <w:tcPr>
            <w:tcW w:type="dxa" w:w="5112"/>
            <w:vAlign w:val="center"/>
            <w:shd w:fill="F7F9FC"/>
          </w:tcPr>
          <w:p>
            <w:r/>
            <w:r>
              <w:rPr>
                <w:rFonts w:ascii="Aptos" w:hAnsi="Aptos"/>
                <w:b w:val="0"/>
                <w:color w:val="1F1F1F"/>
                <w:sz w:val="17"/>
              </w:rPr>
              <w:t>Corrección SQL + reanálisis</w:t>
            </w:r>
          </w:p>
        </w:tc>
        <w:tc>
          <w:tcPr>
            <w:tcW w:type="dxa" w:w="5112"/>
            <w:vAlign w:val="center"/>
            <w:shd w:fill="F7F9FC"/>
          </w:tcPr>
          <w:p>
            <w:r/>
            <w:r>
              <w:rPr>
                <w:rFonts w:ascii="Aptos" w:hAnsi="Aptos"/>
                <w:b w:val="0"/>
                <w:color w:val="1F1F1F"/>
                <w:sz w:val="17"/>
              </w:rPr>
              <w:t>15</w:t>
            </w:r>
          </w:p>
        </w:tc>
      </w:tr>
      <w:tr>
        <w:tc>
          <w:tcPr>
            <w:tcW w:type="dxa" w:w="5112"/>
            <w:vAlign w:val="center"/>
          </w:tcPr>
          <w:p>
            <w:r/>
            <w:r>
              <w:rPr>
                <w:rFonts w:ascii="Aptos" w:hAnsi="Aptos"/>
                <w:b w:val="0"/>
                <w:color w:val="1F1F1F"/>
                <w:sz w:val="17"/>
              </w:rPr>
              <w:t>Baseline y Active Scan DAST</w:t>
            </w:r>
          </w:p>
        </w:tc>
        <w:tc>
          <w:tcPr>
            <w:tcW w:type="dxa" w:w="5112"/>
            <w:vAlign w:val="center"/>
          </w:tcPr>
          <w:p>
            <w:r/>
            <w:r>
              <w:rPr>
                <w:rFonts w:ascii="Aptos" w:hAnsi="Aptos"/>
                <w:b w:val="0"/>
                <w:color w:val="1F1F1F"/>
                <w:sz w:val="17"/>
              </w:rPr>
              <w:t>20</w:t>
            </w:r>
          </w:p>
        </w:tc>
      </w:tr>
      <w:tr>
        <w:tc>
          <w:tcPr>
            <w:tcW w:type="dxa" w:w="5112"/>
            <w:vAlign w:val="center"/>
            <w:shd w:fill="F7F9FC"/>
          </w:tcPr>
          <w:p>
            <w:r/>
            <w:r>
              <w:rPr>
                <w:rFonts w:ascii="Aptos" w:hAnsi="Aptos"/>
                <w:b w:val="0"/>
                <w:color w:val="1F1F1F"/>
                <w:sz w:val="17"/>
              </w:rPr>
              <w:t>Validación/corrección/retesting XSS</w:t>
            </w:r>
          </w:p>
        </w:tc>
        <w:tc>
          <w:tcPr>
            <w:tcW w:type="dxa" w:w="5112"/>
            <w:vAlign w:val="center"/>
            <w:shd w:fill="F7F9FC"/>
          </w:tcPr>
          <w:p>
            <w:r/>
            <w:r>
              <w:rPr>
                <w:rFonts w:ascii="Aptos" w:hAnsi="Aptos"/>
                <w:b w:val="0"/>
                <w:color w:val="1F1F1F"/>
                <w:sz w:val="17"/>
              </w:rPr>
              <w:t>25</w:t>
            </w:r>
          </w:p>
        </w:tc>
      </w:tr>
      <w:tr>
        <w:tc>
          <w:tcPr>
            <w:tcW w:type="dxa" w:w="5112"/>
            <w:vAlign w:val="center"/>
          </w:tcPr>
          <w:p>
            <w:r/>
            <w:r>
              <w:rPr>
                <w:rFonts w:ascii="Aptos" w:hAnsi="Aptos"/>
                <w:b w:val="0"/>
                <w:color w:val="1F1F1F"/>
                <w:sz w:val="17"/>
              </w:rPr>
              <w:t>Comparación SAST vs DAST</w:t>
            </w:r>
          </w:p>
        </w:tc>
        <w:tc>
          <w:tcPr>
            <w:tcW w:type="dxa" w:w="5112"/>
            <w:vAlign w:val="center"/>
          </w:tcPr>
          <w:p>
            <w:r/>
            <w:r>
              <w:rPr>
                <w:rFonts w:ascii="Aptos" w:hAnsi="Aptos"/>
                <w:b w:val="0"/>
                <w:color w:val="1F1F1F"/>
                <w:sz w:val="17"/>
              </w:rPr>
              <w:t>10</w:t>
            </w:r>
          </w:p>
        </w:tc>
      </w:tr>
      <w:tr>
        <w:tc>
          <w:tcPr>
            <w:tcW w:type="dxa" w:w="5112"/>
            <w:vAlign w:val="center"/>
            <w:shd w:fill="F7F9FC"/>
          </w:tcPr>
          <w:p>
            <w:r/>
            <w:r>
              <w:rPr>
                <w:rFonts w:ascii="Aptos" w:hAnsi="Aptos"/>
                <w:b w:val="0"/>
                <w:color w:val="1F1F1F"/>
                <w:sz w:val="17"/>
              </w:rPr>
              <w:t>Evidencia Git/GitHub y reflexión</w:t>
            </w:r>
          </w:p>
        </w:tc>
        <w:tc>
          <w:tcPr>
            <w:tcW w:type="dxa" w:w="5112"/>
            <w:vAlign w:val="center"/>
            <w:shd w:fill="F7F9FC"/>
          </w:tcPr>
          <w:p>
            <w:r/>
            <w:r>
              <w:rPr>
                <w:rFonts w:ascii="Aptos" w:hAnsi="Aptos"/>
                <w:b w:val="0"/>
                <w:color w:val="1F1F1F"/>
                <w:sz w:val="17"/>
              </w:rPr>
              <w:t>10</w:t>
            </w:r>
          </w:p>
        </w:tc>
      </w:tr>
      <w:tr>
        <w:tc>
          <w:tcPr>
            <w:tcW w:type="dxa" w:w="5112"/>
            <w:vAlign w:val="center"/>
          </w:tcPr>
          <w:p>
            <w:r/>
            <w:r>
              <w:rPr>
                <w:rFonts w:ascii="Aptos" w:hAnsi="Aptos"/>
                <w:b w:val="0"/>
                <w:color w:val="1F1F1F"/>
                <w:sz w:val="17"/>
              </w:rPr>
              <w:t>TOTAL</w:t>
            </w:r>
          </w:p>
        </w:tc>
        <w:tc>
          <w:tcPr>
            <w:tcW w:type="dxa" w:w="5112"/>
            <w:vAlign w:val="center"/>
          </w:tcPr>
          <w:p>
            <w:r/>
            <w:r>
              <w:rPr>
                <w:rFonts w:ascii="Aptos" w:hAnsi="Aptos"/>
                <w:b w:val="0"/>
                <w:color w:val="1F1F1F"/>
                <w:sz w:val="17"/>
              </w:rPr>
              <w:t>100</w:t>
            </w:r>
          </w:p>
        </w:tc>
      </w:tr>
    </w:tbl>
    <w:tbl>
      <w:tblPr>
        <w:tblW w:type="auto" w:w="0"/>
        <w:jc w:val="center"/>
        <w:tblLook w:firstColumn="1" w:firstRow="1" w:lastColumn="0" w:lastRow="0" w:noHBand="0" w:noVBand="1" w:val="04A0"/>
      </w:tblPr>
      <w:tblGrid>
        <w:gridCol w:w="10224"/>
      </w:tblGrid>
      <w:tr>
        <w:tc>
          <w:tcPr>
            <w:tcW w:type="dxa" w:w="10224"/>
            <w:shd w:fill="F7F3EE"/>
          </w:tcPr>
          <w:p>
            <w:r>
              <w:rPr>
                <w:b/>
                <w:color w:val="17365D"/>
                <w:sz w:val="20"/>
              </w:rPr>
              <w:t>Cierre</w:t>
              <w:br/>
            </w:r>
            <w:r>
              <w:rPr>
                <w:sz w:val="18"/>
              </w:rPr>
              <w:t>SAST y DAST aportan evidencias diferentes y complementarias. Ninguna herramienta sustituye requisitos de seguridad, revisión humana, pruebas negativas ni validación de autorización y lógica de negocio.</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7365D"/>
        <w:sz w:val="16"/>
      </w:rPr>
      <w:t>Manual del Alumno  ·  SC-LAB-004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6"/>
      </w:rPr>
      <w:t>SecureCampus · Desarrollo Seguro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Note">
    <w:name w:val="Lab Note"/>
    <w:rPr>
      <w:rFonts w:ascii="Aptos" w:hAnsi="Aptos"/>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A5D8ACEFC438744A344C54C34714B17" ma:contentTypeVersion="3" ma:contentTypeDescription="Crear nuevo documento." ma:contentTypeScope="" ma:versionID="2926c73f16d59da342bdd0cf87e366bc">
  <xsd:schema xmlns:xsd="http://www.w3.org/2001/XMLSchema" xmlns:xs="http://www.w3.org/2001/XMLSchema" xmlns:p="http://schemas.microsoft.com/office/2006/metadata/properties" xmlns:ns2="f6b9db3e-c73d-4554-af2c-210e4f28c8b5" targetNamespace="http://schemas.microsoft.com/office/2006/metadata/properties" ma:root="true" ma:fieldsID="1b50d9d79218d7fc100cf788e52ace6a" ns2:_="">
    <xsd:import namespace="f6b9db3e-c73d-4554-af2c-210e4f28c8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9db3e-c73d-4554-af2c-210e4f28c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3BF083-7365-466E-AE96-366F70D575EE}"/>
</file>

<file path=customXml/itemProps3.xml><?xml version="1.0" encoding="utf-8"?>
<ds:datastoreItem xmlns:ds="http://schemas.openxmlformats.org/officeDocument/2006/customXml" ds:itemID="{66EE8FC3-5D99-43C7-AFE9-D59BA7D83BD5}"/>
</file>

<file path=customXml/itemProps4.xml><?xml version="1.0" encoding="utf-8"?>
<ds:datastoreItem xmlns:ds="http://schemas.openxmlformats.org/officeDocument/2006/customXml" ds:itemID="{C758B36A-8511-4D06-B470-8678FF6FDC1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0x010100CA5D8ACEFC438744A344C54C34714B17</vt:lpwstr>
  </property>
</Properties>
</file>