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B17C8" w14:textId="77777777" w:rsidR="00B95B11" w:rsidRDefault="00000000">
      <w:pPr>
        <w:jc w:val="center"/>
        <w:rPr>
          <w:rFonts w:ascii="楷体" w:hAnsi="楷体" w:cs="Calibri" w:hint="eastAsia"/>
          <w:b/>
          <w:sz w:val="44"/>
          <w:szCs w:val="44"/>
        </w:rPr>
      </w:pPr>
      <w:r>
        <w:rPr>
          <w:rFonts w:hint="eastAsia"/>
          <w:sz w:val="44"/>
          <w:szCs w:val="44"/>
        </w:rPr>
        <w:t>论超越守法及其治理</w:t>
      </w:r>
    </w:p>
    <w:p w14:paraId="573C47B8" w14:textId="77777777" w:rsidR="00B95B11" w:rsidRDefault="00000000">
      <w:pPr>
        <w:jc w:val="center"/>
        <w:rPr>
          <w:rStyle w:val="af1"/>
          <w:rFonts w:ascii="楷体" w:eastAsia="楷体" w:hAnsi="楷体" w:cs="Calibri" w:hint="eastAsia"/>
          <w:b/>
          <w:sz w:val="28"/>
          <w:szCs w:val="28"/>
        </w:rPr>
      </w:pPr>
      <w:r>
        <w:rPr>
          <w:rFonts w:ascii="楷体" w:eastAsia="楷体" w:hAnsi="楷体" w:hint="eastAsia"/>
          <w:sz w:val="28"/>
          <w:szCs w:val="28"/>
        </w:rPr>
        <w:t>彭中礼，</w:t>
      </w:r>
      <w:r>
        <w:rPr>
          <w:rFonts w:ascii="楷体" w:eastAsia="楷体" w:hAnsi="楷体" w:cs="Calibri" w:hint="eastAsia"/>
          <w:bCs/>
          <w:sz w:val="28"/>
          <w:szCs w:val="28"/>
        </w:rPr>
        <w:t>郑志泽</w:t>
      </w:r>
    </w:p>
    <w:p w14:paraId="3E98459F" w14:textId="77777777" w:rsidR="00B95B11" w:rsidRDefault="00000000">
      <w:pPr>
        <w:ind w:leftChars="196" w:left="425" w:rightChars="182" w:right="394"/>
        <w:jc w:val="center"/>
        <w:rPr>
          <w:rFonts w:hint="eastAsia"/>
          <w:sz w:val="18"/>
          <w:szCs w:val="18"/>
        </w:rPr>
      </w:pPr>
      <w:r>
        <w:rPr>
          <w:rFonts w:hint="eastAsia"/>
          <w:sz w:val="18"/>
          <w:szCs w:val="18"/>
        </w:rPr>
        <w:t xml:space="preserve">（中南大学 法学院，湖南 长沙 </w:t>
      </w:r>
      <w:r>
        <w:rPr>
          <w:sz w:val="18"/>
          <w:szCs w:val="18"/>
        </w:rPr>
        <w:t>410083</w:t>
      </w:r>
      <w:r>
        <w:rPr>
          <w:rFonts w:hint="eastAsia"/>
          <w:sz w:val="18"/>
          <w:szCs w:val="18"/>
        </w:rPr>
        <w:t>）</w:t>
      </w:r>
    </w:p>
    <w:p w14:paraId="72B3AE30" w14:textId="77777777" w:rsidR="00B95B11" w:rsidRDefault="00B95B11">
      <w:pPr>
        <w:ind w:leftChars="196" w:left="425" w:rightChars="182" w:right="394"/>
        <w:jc w:val="center"/>
        <w:rPr>
          <w:rFonts w:hint="eastAsia"/>
          <w:sz w:val="18"/>
          <w:szCs w:val="18"/>
        </w:rPr>
      </w:pPr>
    </w:p>
    <w:p w14:paraId="722E67F0" w14:textId="77777777" w:rsidR="00B95B11" w:rsidRDefault="00000000">
      <w:pPr>
        <w:ind w:leftChars="196" w:left="425" w:rightChars="182" w:right="394" w:firstLine="420"/>
        <w:rPr>
          <w:rFonts w:cs="Calibri" w:hint="eastAsia"/>
          <w:sz w:val="18"/>
          <w:szCs w:val="18"/>
        </w:rPr>
      </w:pPr>
      <w:r>
        <w:rPr>
          <w:rFonts w:cs="Calibri" w:hint="eastAsia"/>
          <w:b/>
          <w:sz w:val="18"/>
          <w:szCs w:val="18"/>
        </w:rPr>
        <w:t>摘　要</w:t>
      </w:r>
      <w:r>
        <w:rPr>
          <w:rFonts w:cs="Calibri" w:hint="eastAsia"/>
          <w:sz w:val="18"/>
          <w:szCs w:val="18"/>
        </w:rPr>
        <w:t>：超越守法是指企业制定并遵守比法律更为严格的自治规范的现象。企业自治规范在国家法的强制要求与社会许可的自发推动下趋于严格，促成了超越守法现象的发生。超越守法现象可分为负担自承和负担转移两种类型，其中负担转移型可能违反法治原则，主要表现为企业自治规范缺乏对企业自身的限制，形式合法性欠缺以及违反“法律的统治而非人的统治”原则。</w:t>
      </w:r>
      <w:r>
        <w:rPr>
          <w:rFonts w:hint="eastAsia"/>
          <w:sz w:val="18"/>
          <w:szCs w:val="18"/>
        </w:rPr>
        <w:t>导致该问题产生的原因，</w:t>
      </w:r>
      <w:r>
        <w:rPr>
          <w:rFonts w:cs="Calibri" w:hint="eastAsia"/>
          <w:sz w:val="18"/>
          <w:szCs w:val="18"/>
        </w:rPr>
        <w:t>包括多元规范助力机制的扭曲、议程设置的反制措施难以启动以及企业优位下的消费者权利契约化等。合理规制超越守法，需要从立法上明晰相关主体的法律责任，建立合理的社会规范备案审查制度，形成完备、有效的司法审查制度等。超越守法现象揭示了自下而上的法治社会建设路径具有的可能性，但其违反法治原则的问题也表明自上而下的法治社会建设路径也应当同时相向发力，合力推进法治社会建设。</w:t>
      </w:r>
    </w:p>
    <w:p w14:paraId="79564FCE" w14:textId="77777777" w:rsidR="00B95B11" w:rsidRDefault="00000000">
      <w:pPr>
        <w:ind w:leftChars="196" w:left="425" w:rightChars="182" w:right="394" w:firstLine="420"/>
        <w:rPr>
          <w:rFonts w:cs="Calibri" w:hint="eastAsia"/>
          <w:sz w:val="18"/>
          <w:szCs w:val="18"/>
        </w:rPr>
      </w:pPr>
      <w:r>
        <w:rPr>
          <w:rFonts w:cs="Calibri" w:hint="eastAsia"/>
          <w:b/>
          <w:sz w:val="18"/>
          <w:szCs w:val="18"/>
        </w:rPr>
        <w:t>关键词</w:t>
      </w:r>
      <w:r>
        <w:rPr>
          <w:rFonts w:cs="Calibri" w:hint="eastAsia"/>
          <w:sz w:val="18"/>
          <w:szCs w:val="18"/>
        </w:rPr>
        <w:t>：超越守法；法治；社会规范；自治规范；备案审查</w:t>
      </w:r>
    </w:p>
    <w:p w14:paraId="7F408825" w14:textId="77777777" w:rsidR="00B95B11" w:rsidRDefault="00000000">
      <w:pPr>
        <w:ind w:leftChars="196" w:left="425" w:rightChars="182" w:right="394" w:firstLine="420"/>
        <w:rPr>
          <w:rFonts w:cs="Calibri" w:hint="eastAsia"/>
          <w:sz w:val="18"/>
          <w:szCs w:val="18"/>
        </w:rPr>
      </w:pPr>
      <w:r>
        <w:rPr>
          <w:rFonts w:hint="eastAsia"/>
          <w:b/>
          <w:bCs/>
          <w:sz w:val="18"/>
          <w:szCs w:val="18"/>
        </w:rPr>
        <w:t>中图分类号：</w:t>
      </w:r>
      <w:r>
        <w:rPr>
          <w:rFonts w:hint="eastAsia"/>
          <w:sz w:val="18"/>
          <w:szCs w:val="18"/>
        </w:rPr>
        <w:t>D92</w:t>
      </w:r>
      <w:r>
        <w:rPr>
          <w:sz w:val="18"/>
          <w:szCs w:val="18"/>
        </w:rPr>
        <w:t>0.0</w:t>
      </w:r>
      <w:r>
        <w:rPr>
          <w:rFonts w:hint="eastAsia"/>
          <w:sz w:val="18"/>
          <w:szCs w:val="18"/>
        </w:rPr>
        <w:t xml:space="preserve">    </w:t>
      </w:r>
      <w:r>
        <w:rPr>
          <w:rFonts w:hint="eastAsia"/>
          <w:b/>
          <w:bCs/>
          <w:sz w:val="18"/>
          <w:szCs w:val="18"/>
        </w:rPr>
        <w:t>文献标识码：</w:t>
      </w:r>
      <w:r>
        <w:rPr>
          <w:rFonts w:hint="eastAsia"/>
          <w:sz w:val="18"/>
          <w:szCs w:val="18"/>
        </w:rPr>
        <w:t xml:space="preserve">A    </w:t>
      </w:r>
      <w:r>
        <w:rPr>
          <w:rFonts w:hint="eastAsia"/>
          <w:b/>
          <w:bCs/>
          <w:sz w:val="18"/>
          <w:szCs w:val="18"/>
        </w:rPr>
        <w:t>文章编码：</w:t>
      </w:r>
      <w:r>
        <w:rPr>
          <w:rFonts w:hint="eastAsia"/>
          <w:sz w:val="18"/>
          <w:szCs w:val="18"/>
        </w:rPr>
        <w:t>0438-0460(2024)03-0045-13</w:t>
      </w:r>
      <w:r>
        <w:rPr>
          <w:rFonts w:hint="eastAsia"/>
          <w:color w:val="FF0000"/>
          <w:sz w:val="18"/>
          <w:szCs w:val="18"/>
        </w:rPr>
        <w:t>（由编辑部填写）</w:t>
      </w:r>
    </w:p>
    <w:p w14:paraId="69B3EC73" w14:textId="77777777" w:rsidR="00B95B11" w:rsidRDefault="00000000">
      <w:pPr>
        <w:pStyle w:val="af4"/>
        <w:numPr>
          <w:ilvl w:val="0"/>
          <w:numId w:val="1"/>
        </w:numPr>
        <w:ind w:firstLineChars="0"/>
        <w:jc w:val="center"/>
        <w:outlineLvl w:val="0"/>
        <w:rPr>
          <w:rFonts w:ascii="楷体" w:eastAsia="楷体" w:hAnsi="楷体" w:hint="eastAsia"/>
          <w:sz w:val="28"/>
          <w:szCs w:val="28"/>
        </w:rPr>
      </w:pPr>
      <w:r>
        <w:rPr>
          <w:rFonts w:ascii="楷体" w:eastAsia="楷体" w:hAnsi="楷体" w:hint="eastAsia"/>
          <w:sz w:val="28"/>
          <w:szCs w:val="28"/>
        </w:rPr>
        <w:t>问题的提出</w:t>
      </w:r>
    </w:p>
    <w:p w14:paraId="3682DF1B" w14:textId="77777777" w:rsidR="00B95B11" w:rsidRDefault="00000000">
      <w:pPr>
        <w:ind w:firstLine="420"/>
        <w:rPr>
          <w:rFonts w:cs="黑体" w:hint="eastAsia"/>
          <w:bCs/>
          <w:szCs w:val="21"/>
        </w:rPr>
      </w:pPr>
      <w:r>
        <w:rPr>
          <w:rFonts w:hint="eastAsia"/>
          <w:szCs w:val="21"/>
        </w:rPr>
        <w:t>超越守法（</w:t>
      </w:r>
      <w:r>
        <w:rPr>
          <w:rFonts w:cs="黑体" w:hint="eastAsia"/>
          <w:bCs/>
          <w:szCs w:val="21"/>
        </w:rPr>
        <w:t>beyond</w:t>
      </w:r>
      <w:r>
        <w:rPr>
          <w:rFonts w:cs="黑体"/>
          <w:bCs/>
          <w:szCs w:val="21"/>
        </w:rPr>
        <w:t xml:space="preserve"> </w:t>
      </w:r>
      <w:r>
        <w:rPr>
          <w:rStyle w:val="fontstyle01"/>
          <w:rFonts w:hint="default"/>
          <w:color w:val="auto"/>
          <w:sz w:val="21"/>
          <w:szCs w:val="21"/>
        </w:rPr>
        <w:t>compliance，或译作超越合规</w:t>
      </w:r>
      <w:r>
        <w:rPr>
          <w:rFonts w:hint="eastAsia"/>
          <w:szCs w:val="21"/>
        </w:rPr>
        <w:t>）是2</w:t>
      </w:r>
      <w:r>
        <w:rPr>
          <w:szCs w:val="21"/>
        </w:rPr>
        <w:t>0</w:t>
      </w:r>
      <w:r>
        <w:rPr>
          <w:rFonts w:hint="eastAsia"/>
          <w:szCs w:val="21"/>
        </w:rPr>
        <w:t>世纪末学术界产生的专有名词，用来指代工厂主在生产中采用比环保法规更严格的企业标准的现象。</w:t>
      </w:r>
      <w:r>
        <w:rPr>
          <w:rStyle w:val="af1"/>
          <w:szCs w:val="21"/>
        </w:rPr>
        <w:footnoteReference w:id="1"/>
      </w:r>
      <w:r>
        <w:rPr>
          <w:rFonts w:hint="eastAsia"/>
          <w:szCs w:val="21"/>
        </w:rPr>
        <w:t>此后该现象被学者不断拓展，泛指企业在经营中遵守了比法律规范更为严格的企业自治规范的现象。</w:t>
      </w:r>
      <w:r>
        <w:rPr>
          <w:rFonts w:cs="黑体" w:hint="eastAsia"/>
          <w:bCs/>
          <w:szCs w:val="21"/>
        </w:rPr>
        <w:t>2</w:t>
      </w:r>
      <w:r>
        <w:rPr>
          <w:rFonts w:cs="黑体"/>
          <w:bCs/>
          <w:szCs w:val="21"/>
        </w:rPr>
        <w:t>006</w:t>
      </w:r>
      <w:r>
        <w:rPr>
          <w:rFonts w:cs="黑体" w:hint="eastAsia"/>
          <w:bCs/>
          <w:szCs w:val="21"/>
        </w:rPr>
        <w:t>年葛宁汉等学者基于对澳洲和北美造纸厂的调研，研究了社会许可（social</w:t>
      </w:r>
      <w:r>
        <w:rPr>
          <w:rFonts w:cs="黑体"/>
          <w:bCs/>
          <w:szCs w:val="21"/>
        </w:rPr>
        <w:t xml:space="preserve"> </w:t>
      </w:r>
      <w:r>
        <w:rPr>
          <w:rFonts w:cs="黑体" w:hint="eastAsia"/>
          <w:bCs/>
          <w:szCs w:val="21"/>
        </w:rPr>
        <w:t>license）对超越守法的影响：在法律威慑和经济利益之外，社会许可会通过影响企业社会声誉、影响企业收益、敦促相关部门加强执法、游说更为严格的监管立法等方式，迫使企业超越守法。社会规范和法律制度在此过程中会相互借力，促成超越守法现象的发生或使之更为显著。</w:t>
      </w:r>
      <w:r>
        <w:rPr>
          <w:rStyle w:val="af1"/>
          <w:rFonts w:cs="黑体"/>
          <w:bCs/>
          <w:szCs w:val="21"/>
        </w:rPr>
        <w:footnoteReference w:id="2"/>
      </w:r>
      <w:r>
        <w:rPr>
          <w:rFonts w:cs="黑体" w:hint="eastAsia"/>
          <w:bCs/>
          <w:szCs w:val="21"/>
        </w:rPr>
        <w:t>近年来国外的超越守法研究持续深入，如不同行业的超越守法现象比较</w:t>
      </w:r>
      <w:r>
        <w:rPr>
          <w:rStyle w:val="af1"/>
          <w:rFonts w:cs="黑体"/>
          <w:bCs/>
          <w:szCs w:val="21"/>
        </w:rPr>
        <w:footnoteReference w:id="3"/>
      </w:r>
      <w:r>
        <w:rPr>
          <w:rFonts w:cs="黑体" w:hint="eastAsia"/>
          <w:bCs/>
          <w:szCs w:val="21"/>
        </w:rPr>
        <w:t>、实现超越守法的企业特点</w:t>
      </w:r>
      <w:r>
        <w:rPr>
          <w:rStyle w:val="af1"/>
          <w:rFonts w:cs="黑体"/>
          <w:bCs/>
          <w:szCs w:val="21"/>
        </w:rPr>
        <w:footnoteReference w:id="4"/>
      </w:r>
      <w:r>
        <w:rPr>
          <w:rFonts w:cs="黑体" w:hint="eastAsia"/>
          <w:bCs/>
          <w:szCs w:val="21"/>
        </w:rPr>
        <w:t>，等等。</w:t>
      </w:r>
    </w:p>
    <w:p w14:paraId="55B5D4CA" w14:textId="77777777" w:rsidR="00B95B11" w:rsidRDefault="00000000">
      <w:pPr>
        <w:ind w:firstLine="420"/>
        <w:rPr>
          <w:rFonts w:cs="黑体" w:hint="eastAsia"/>
          <w:bCs/>
          <w:szCs w:val="21"/>
        </w:rPr>
      </w:pPr>
      <w:r>
        <w:rPr>
          <w:rFonts w:cs="黑体" w:hint="eastAsia"/>
          <w:bCs/>
          <w:szCs w:val="21"/>
        </w:rPr>
        <w:t>超越守法现象在国内也司空见惯。涉及实体商品的有如多家乳企共同制定并执行的《</w:t>
      </w:r>
      <w:r>
        <w:rPr>
          <w:rFonts w:hint="eastAsia"/>
          <w:color w:val="333333"/>
          <w:szCs w:val="21"/>
          <w:shd w:val="clear" w:color="auto" w:fill="FFFFFF"/>
        </w:rPr>
        <w:t>中国农垦乳业联盟产品标准》（以下简称《标准》），其多项指标优于国家标准；</w:t>
      </w:r>
      <w:r>
        <w:rPr>
          <w:rStyle w:val="af1"/>
          <w:rFonts w:cs="黑体"/>
          <w:bCs/>
          <w:szCs w:val="21"/>
        </w:rPr>
        <w:footnoteReference w:id="5"/>
      </w:r>
      <w:r>
        <w:rPr>
          <w:rFonts w:hint="eastAsia"/>
          <w:color w:val="333333"/>
          <w:szCs w:val="21"/>
          <w:shd w:val="clear" w:color="auto" w:fill="FFFFFF"/>
        </w:rPr>
        <w:t>涉及非实体服务的则有弹幕视频网站</w:t>
      </w:r>
      <w:r>
        <w:rPr>
          <w:rFonts w:hint="eastAsia"/>
          <w:szCs w:val="21"/>
          <w:shd w:val="clear" w:color="auto" w:fill="FFFFFF"/>
        </w:rPr>
        <w:t>审核弹幕所依据的《社区公约》，其和谐友善标准优于合法/非法标准。</w:t>
      </w:r>
      <w:r>
        <w:rPr>
          <w:rStyle w:val="af1"/>
          <w:szCs w:val="21"/>
          <w:shd w:val="clear" w:color="auto" w:fill="FFFFFF"/>
        </w:rPr>
        <w:footnoteReference w:id="6"/>
      </w:r>
      <w:r>
        <w:rPr>
          <w:rFonts w:cs="黑体" w:hint="eastAsia"/>
          <w:bCs/>
          <w:szCs w:val="21"/>
        </w:rPr>
        <w:t>而国内对超越守法的研究则较为少见，如何自</w:t>
      </w:r>
      <w:r>
        <w:rPr>
          <w:rFonts w:hint="eastAsia"/>
          <w:szCs w:val="21"/>
        </w:rPr>
        <w:t>云最早在中文学界提出了这一概念</w:t>
      </w:r>
      <w:r>
        <w:rPr>
          <w:rStyle w:val="af1"/>
          <w:szCs w:val="21"/>
        </w:rPr>
        <w:footnoteReference w:id="7"/>
      </w:r>
      <w:r>
        <w:rPr>
          <w:rFonts w:cs="黑体" w:hint="eastAsia"/>
          <w:bCs/>
          <w:szCs w:val="21"/>
        </w:rPr>
        <w:t>，肖惠娜在对国外守法研究的述评中介绍了葛宁汉</w:t>
      </w:r>
      <w:r>
        <w:rPr>
          <w:rFonts w:cs="黑体" w:hint="eastAsia"/>
          <w:bCs/>
          <w:szCs w:val="21"/>
        </w:rPr>
        <w:lastRenderedPageBreak/>
        <w:t>的超越守法研究</w:t>
      </w:r>
      <w:r>
        <w:rPr>
          <w:rStyle w:val="af1"/>
          <w:rFonts w:cs="黑体"/>
          <w:bCs/>
          <w:szCs w:val="21"/>
        </w:rPr>
        <w:footnoteReference w:id="8"/>
      </w:r>
      <w:r>
        <w:rPr>
          <w:rFonts w:cs="黑体" w:hint="eastAsia"/>
          <w:bCs/>
          <w:szCs w:val="21"/>
        </w:rPr>
        <w:t>，首次将相关国外理论引入国内法学界。</w:t>
      </w:r>
    </w:p>
    <w:p w14:paraId="3BB13C40" w14:textId="77777777" w:rsidR="00B95B11" w:rsidRDefault="00000000">
      <w:pPr>
        <w:ind w:firstLine="420"/>
        <w:rPr>
          <w:rFonts w:cs="黑体" w:hint="eastAsia"/>
          <w:bCs/>
          <w:szCs w:val="21"/>
        </w:rPr>
      </w:pPr>
      <w:r>
        <w:rPr>
          <w:rFonts w:cs="黑体" w:hint="eastAsia"/>
          <w:bCs/>
          <w:szCs w:val="21"/>
        </w:rPr>
        <w:t>国内外的超越守法研究通常都认为，国家法受到各种因素的影响，其规定只能作为底线来看待。超越守法现象中企业遵守更为严格的自治规范，反映了公众的更高期待或企业更高的社会责任感。国家法为更严格的企业自治规范提供了制度背书，而企业自治规范则实现了国家法力所不逮之目标，来自国家和企业的合力共同推进法治社会的深入发展。然而需要追问的是，这种国家法与企业自治规范的同向而行，是否一定发挥着相关研究者预期中的正面作用？换言之，如果企业自治规范具有较国家法更为严苛的自治规则，那么是否会剥夺了法律对公民的权利保护，从而违反法治原则？进一步而论，站在法治的立场上，应当如何理解这种现象，并对其可能违反法治原则的问题进行有效规制，需要进行深入的法理分析。</w:t>
      </w:r>
    </w:p>
    <w:p w14:paraId="19612830" w14:textId="77777777" w:rsidR="00B95B11" w:rsidRDefault="00000000">
      <w:pPr>
        <w:jc w:val="center"/>
        <w:outlineLvl w:val="0"/>
        <w:rPr>
          <w:rFonts w:ascii="楷体" w:eastAsia="楷体" w:hAnsi="楷体" w:hint="eastAsia"/>
          <w:sz w:val="28"/>
          <w:szCs w:val="28"/>
        </w:rPr>
      </w:pPr>
      <w:r>
        <w:rPr>
          <w:rFonts w:ascii="楷体" w:eastAsia="楷体" w:hAnsi="楷体" w:hint="eastAsia"/>
          <w:sz w:val="28"/>
          <w:szCs w:val="28"/>
        </w:rPr>
        <w:t>二、超越守法的规范要素与运作机理</w:t>
      </w:r>
    </w:p>
    <w:p w14:paraId="3F4F711C" w14:textId="77777777" w:rsidR="00B95B11" w:rsidRDefault="00000000">
      <w:pPr>
        <w:ind w:firstLine="420"/>
        <w:rPr>
          <w:rFonts w:cs="黑体" w:hint="eastAsia"/>
          <w:bCs/>
          <w:szCs w:val="21"/>
        </w:rPr>
      </w:pPr>
      <w:r>
        <w:rPr>
          <w:rFonts w:cs="黑体" w:hint="eastAsia"/>
          <w:bCs/>
          <w:szCs w:val="21"/>
        </w:rPr>
        <w:t>在讨论超越守法可能存在的反法治问题时，需要首先对超越守法的一般情况进行考察。即在超越守法现象中，各类规范要素在静态上是怎样的存在，在运行中又是怎样的关系，这些联系如何导致了超越守法现象的发生。对超越守法现象的成因研究构成了可能存在的违反法治原则问题的研究基础。</w:t>
      </w:r>
    </w:p>
    <w:p w14:paraId="65B3176F" w14:textId="77777777" w:rsidR="00B95B11" w:rsidRDefault="00000000">
      <w:pPr>
        <w:ind w:firstLine="420"/>
        <w:rPr>
          <w:rFonts w:ascii="黑体" w:eastAsia="黑体" w:hAnsi="黑体" w:cs="黑体" w:hint="eastAsia"/>
          <w:bCs/>
          <w:szCs w:val="21"/>
        </w:rPr>
      </w:pPr>
      <w:r>
        <w:rPr>
          <w:rFonts w:ascii="黑体" w:eastAsia="黑体" w:hAnsi="黑体" w:cs="黑体" w:hint="eastAsia"/>
          <w:bCs/>
          <w:szCs w:val="21"/>
        </w:rPr>
        <w:t>（一）超越守法的规范要素</w:t>
      </w:r>
    </w:p>
    <w:p w14:paraId="2296FC7B" w14:textId="77777777" w:rsidR="00B95B11" w:rsidRDefault="00000000">
      <w:pPr>
        <w:ind w:firstLine="420"/>
        <w:rPr>
          <w:rFonts w:cs="黑体" w:hint="eastAsia"/>
          <w:bCs/>
          <w:szCs w:val="21"/>
        </w:rPr>
      </w:pPr>
      <w:r>
        <w:rPr>
          <w:rFonts w:cs="黑体" w:hint="eastAsia"/>
          <w:bCs/>
          <w:szCs w:val="21"/>
        </w:rPr>
        <w:t>超越守法现象中通常涉及三类规范要素，即国家法、企业自治规范和社会许可。企业自治规范和社会许可，在规则上较国家法的规定更为严格。下面以乳企和弹幕视频网站经营中出现的超越守法现象为例，对其所涉及的三类规范要素予以说明。</w:t>
      </w:r>
    </w:p>
    <w:p w14:paraId="1560B787" w14:textId="77777777" w:rsidR="00B95B11" w:rsidRDefault="00000000">
      <w:pPr>
        <w:ind w:firstLine="420"/>
        <w:rPr>
          <w:rFonts w:hint="eastAsia"/>
          <w:szCs w:val="21"/>
        </w:rPr>
      </w:pPr>
      <w:r>
        <w:rPr>
          <w:rFonts w:hint="eastAsia"/>
          <w:szCs w:val="21"/>
        </w:rPr>
        <w:t>1</w:t>
      </w:r>
      <w:r>
        <w:rPr>
          <w:szCs w:val="21"/>
        </w:rPr>
        <w:t>.</w:t>
      </w:r>
      <w:r>
        <w:rPr>
          <w:rFonts w:hint="eastAsia"/>
          <w:szCs w:val="21"/>
        </w:rPr>
        <w:t>国家法</w:t>
      </w:r>
    </w:p>
    <w:p w14:paraId="3A6D7C67" w14:textId="77777777" w:rsidR="00B95B11" w:rsidRDefault="00000000">
      <w:pPr>
        <w:ind w:firstLine="420"/>
        <w:rPr>
          <w:rFonts w:hint="eastAsia"/>
          <w:szCs w:val="21"/>
        </w:rPr>
      </w:pPr>
      <w:r>
        <w:rPr>
          <w:rFonts w:hint="eastAsia"/>
          <w:szCs w:val="21"/>
        </w:rPr>
        <w:t>国家法一方面保护公民的合法权利，另一方面也通过行政机关的外部监管和企业的内部监管约束公民在法律允许的范围内行使权利。一些超越守法现象中的国家法主要涉及前一方面，如有关乳业的国家法，其核心在于对企业施加限制以保障公民的食品安全。在法律层面，《食品安全法》对乳制品安全作了概括规定。在行政法规、规范性文件层面，则有《乳品质量安全监督管理条例》《生鲜乳生产收购管理办法》等对乳制品采购、生产、流通作专门规定，部分产区还通过地方立法的形式对特有问题进行补充（如《黑龙江省奶业条例》等）。卫生管理部门还对部分乳制品品类制定了食品安全国家标准。而另一些超越守法现象中国家法则兼顾公民权利的保护与约束两个方面。如弹幕治理中，在宪法和法律层面，《宪法》明确了</w:t>
      </w:r>
      <w:r>
        <w:rPr>
          <w:szCs w:val="21"/>
        </w:rPr>
        <w:t>表达自由被作为公民的基本权利受到保护</w:t>
      </w:r>
      <w:r>
        <w:rPr>
          <w:rFonts w:hint="eastAsia"/>
          <w:szCs w:val="21"/>
        </w:rPr>
        <w:t>，而</w:t>
      </w:r>
      <w:r>
        <w:rPr>
          <w:szCs w:val="21"/>
        </w:rPr>
        <w:t>《网络安全法》将</w:t>
      </w:r>
      <w:r>
        <w:rPr>
          <w:rFonts w:hint="eastAsia"/>
          <w:szCs w:val="21"/>
        </w:rPr>
        <w:t>特定内容的表达排除出保护范围，明确了弹幕视频网站审核行为的“管理”性质，并赋予站方审核责任。在行政法规、规范性文件层面，《互联网信息服务管理办法》（</w:t>
      </w:r>
      <w:r>
        <w:rPr>
          <w:szCs w:val="21"/>
        </w:rPr>
        <w:t>以下简称《办法》）明确了9类不得传播的弹幕</w:t>
      </w:r>
      <w:r>
        <w:rPr>
          <w:rFonts w:hint="eastAsia"/>
          <w:szCs w:val="21"/>
        </w:rPr>
        <w:t>（网络平台通常将其称为九不准原则），进一步明确了站方的审核义务以及相应后果。</w:t>
      </w:r>
      <w:r>
        <w:rPr>
          <w:szCs w:val="21"/>
        </w:rPr>
        <w:t>《互联网跟帖评论服务管理规定》（以下简称《规定》）</w:t>
      </w:r>
      <w:r>
        <w:rPr>
          <w:rFonts w:hint="eastAsia"/>
          <w:szCs w:val="21"/>
        </w:rPr>
        <w:t>对《办法》起到了细节补充作用，明确将弹幕纳入跟帖评论的范畴，细化了站方审核制度的具体要求、对发布不当弹幕的用户及未尽到管理义务的</w:t>
      </w:r>
      <w:r>
        <w:rPr>
          <w:szCs w:val="21"/>
        </w:rPr>
        <w:t>up主</w:t>
      </w:r>
      <w:r>
        <w:rPr>
          <w:rStyle w:val="af1"/>
          <w:szCs w:val="21"/>
        </w:rPr>
        <w:footnoteReference w:id="9"/>
      </w:r>
      <w:r>
        <w:rPr>
          <w:szCs w:val="21"/>
        </w:rPr>
        <w:t>可以采取的处置措施</w:t>
      </w:r>
      <w:r>
        <w:rPr>
          <w:rFonts w:hint="eastAsia"/>
          <w:szCs w:val="21"/>
        </w:rPr>
        <w:t>，以及对监管部门的协助责任</w:t>
      </w:r>
      <w:r>
        <w:rPr>
          <w:szCs w:val="21"/>
        </w:rPr>
        <w:t>等。</w:t>
      </w:r>
    </w:p>
    <w:p w14:paraId="154A4467" w14:textId="77777777" w:rsidR="00B95B11" w:rsidRDefault="00000000">
      <w:pPr>
        <w:ind w:firstLine="420"/>
        <w:rPr>
          <w:rFonts w:hint="eastAsia"/>
          <w:szCs w:val="21"/>
        </w:rPr>
      </w:pPr>
      <w:r>
        <w:rPr>
          <w:rFonts w:hint="eastAsia"/>
          <w:szCs w:val="21"/>
        </w:rPr>
        <w:t>2</w:t>
      </w:r>
      <w:r>
        <w:rPr>
          <w:szCs w:val="21"/>
        </w:rPr>
        <w:t>.</w:t>
      </w:r>
      <w:r>
        <w:rPr>
          <w:rFonts w:hint="eastAsia"/>
          <w:szCs w:val="21"/>
        </w:rPr>
        <w:t>企业自治规范</w:t>
      </w:r>
    </w:p>
    <w:p w14:paraId="5D2ED3BF" w14:textId="77777777" w:rsidR="00B95B11" w:rsidRDefault="00000000">
      <w:pPr>
        <w:ind w:firstLine="420"/>
        <w:rPr>
          <w:rFonts w:hint="eastAsia"/>
          <w:szCs w:val="21"/>
        </w:rPr>
      </w:pPr>
      <w:r>
        <w:rPr>
          <w:rFonts w:hint="eastAsia"/>
          <w:szCs w:val="21"/>
        </w:rPr>
        <w:t>企业自治规范一方面规范化自己的经营行为，另一方面也通过产品合同、用户协议等方式管理消费者对商品或服务的使用。前者即一般意义上的企业治理，而后者则因涉及企业外部主体而存在争议。法学界近年来试图从企业注意义务、治理活动的成本效益分析</w:t>
      </w:r>
      <w:r>
        <w:rPr>
          <w:rStyle w:val="af1"/>
          <w:szCs w:val="21"/>
        </w:rPr>
        <w:footnoteReference w:id="10"/>
      </w:r>
      <w:r>
        <w:rPr>
          <w:rFonts w:hint="eastAsia"/>
          <w:szCs w:val="21"/>
        </w:rPr>
        <w:t>、行政授权或行政委托</w:t>
      </w:r>
      <w:r>
        <w:rPr>
          <w:rStyle w:val="af1"/>
          <w:szCs w:val="21"/>
        </w:rPr>
        <w:footnoteReference w:id="11"/>
      </w:r>
      <w:r>
        <w:rPr>
          <w:rFonts w:hint="eastAsia"/>
          <w:szCs w:val="21"/>
        </w:rPr>
        <w:t>、守门人理论、外</w:t>
      </w:r>
      <w:r>
        <w:rPr>
          <w:rFonts w:hint="eastAsia"/>
          <w:szCs w:val="21"/>
        </w:rPr>
        <w:lastRenderedPageBreak/>
        <w:t>部性理论</w:t>
      </w:r>
      <w:r>
        <w:rPr>
          <w:rStyle w:val="af1"/>
          <w:szCs w:val="21"/>
        </w:rPr>
        <w:footnoteReference w:id="12"/>
      </w:r>
      <w:r>
        <w:rPr>
          <w:rFonts w:hint="eastAsia"/>
          <w:szCs w:val="21"/>
        </w:rPr>
        <w:t>等不同理由论述后者应当属于企业治理的范畴。实际上，从两种行为的关系角度切入，能够更为简洁地明确后者作为企业治理活动的性质：企业对消费者如何使用商品或服务的管理行为服务于企业内部治理的需要（如业务考核，合规要求等），因此后者是前者的自然延伸。而且消费者与企业的关系问题也值得商榷。如“利益相关者”理论</w:t>
      </w:r>
      <w:r>
        <w:rPr>
          <w:rStyle w:val="af1"/>
          <w:szCs w:val="21"/>
        </w:rPr>
        <w:footnoteReference w:id="13"/>
      </w:r>
      <w:r>
        <w:rPr>
          <w:rFonts w:hint="eastAsia"/>
          <w:szCs w:val="21"/>
        </w:rPr>
        <w:t>就提出企业的成功经营需要协调并满足包括各种利益相关者的需求，因而正确处理企业与利益相关者的互动是公司治理的当然部分。消费者作为一种次要利益相关者，其需求是公司经营的考虑因素之一。企业与消费者就使用商品或服务而发生的互动，理应属于企业治理的范畴。</w:t>
      </w:r>
      <w:r>
        <w:rPr>
          <w:rStyle w:val="af1"/>
          <w:szCs w:val="21"/>
        </w:rPr>
        <w:footnoteReference w:id="14"/>
      </w:r>
    </w:p>
    <w:p w14:paraId="687E264B" w14:textId="77777777" w:rsidR="00B95B11" w:rsidRDefault="00000000">
      <w:pPr>
        <w:ind w:firstLine="420"/>
        <w:rPr>
          <w:rFonts w:cs="华文宋体" w:hint="eastAsia"/>
          <w:szCs w:val="21"/>
          <w:shd w:val="clear" w:color="auto" w:fill="FFFFFF"/>
        </w:rPr>
      </w:pPr>
      <w:r>
        <w:rPr>
          <w:rFonts w:hint="eastAsia"/>
          <w:szCs w:val="21"/>
        </w:rPr>
        <w:t>超越守法现象中的企业自治规范可能仅规范化自己的经营行为，如《</w:t>
      </w:r>
      <w:r>
        <w:rPr>
          <w:rFonts w:hint="eastAsia"/>
          <w:color w:val="333333"/>
          <w:szCs w:val="21"/>
          <w:shd w:val="clear" w:color="auto" w:fill="FFFFFF"/>
        </w:rPr>
        <w:t>标准》就仅对乳企的生产质量控制提出要求。另一些企业自治规范则在此基础上也涉及消费者对商品或服务的使用。以弹幕治理为例，</w:t>
      </w:r>
      <w:r>
        <w:rPr>
          <w:rFonts w:hint="eastAsia"/>
          <w:szCs w:val="21"/>
        </w:rPr>
        <w:t>弹幕视频网站的企业自治规范，在形式上主要表现为社区规范、用户协议等，在内容上一般包括四个部分：对《办法》的援引、不当弹幕的判定标准、争议弹幕的准裁判制度以及不当弹幕的处罚规则。除第一部分用于阐述</w:t>
      </w:r>
      <w:r>
        <w:rPr>
          <w:rFonts w:cs="华文宋体" w:hint="eastAsia"/>
          <w:szCs w:val="21"/>
          <w:shd w:val="clear" w:color="auto" w:fill="FFFFFF"/>
        </w:rPr>
        <w:t>弹幕治理的合法性来源外，后三部分既有规范化具体治理活动的意义，也对用户如何使用弹幕功能产生影响。</w:t>
      </w:r>
    </w:p>
    <w:p w14:paraId="4A8FF844" w14:textId="41EA7C7E" w:rsidR="00B95B11" w:rsidRDefault="00000000">
      <w:pPr>
        <w:ind w:firstLine="420"/>
        <w:rPr>
          <w:rFonts w:cs="华文宋体" w:hint="eastAsia"/>
          <w:szCs w:val="21"/>
          <w:shd w:val="clear" w:color="auto" w:fill="FFFFFF"/>
        </w:rPr>
      </w:pPr>
      <w:r>
        <w:rPr>
          <w:rFonts w:cs="华文宋体" w:hint="eastAsia"/>
          <w:szCs w:val="21"/>
          <w:shd w:val="clear" w:color="auto" w:fill="FFFFFF"/>
        </w:rPr>
        <w:t>超越守法现象中的企业自治规范比国家法更为严格，这种严格既可能表现为对法律规则的进一步细化，也可能表现为基于商品或服务特点制定的拓展性规则。以弹幕治理为例，企业自治规范对法律规则的进一步细化，表现为如下两个方面：在判定标准上，站方将九不准原则逐句拆分，仅“危害国家安全，泄露国家秘密，颠覆国家政权，破坏国家统一”一条就在某社区规范中被细化为</w:t>
      </w:r>
      <w:r>
        <w:rPr>
          <w:rFonts w:cs="华文宋体"/>
          <w:szCs w:val="21"/>
          <w:shd w:val="clear" w:color="auto" w:fill="FFFFFF"/>
        </w:rPr>
        <w:t>22</w:t>
      </w:r>
      <w:r>
        <w:rPr>
          <w:rFonts w:cs="华文宋体" w:hint="eastAsia"/>
          <w:szCs w:val="21"/>
          <w:shd w:val="clear" w:color="auto" w:fill="FFFFFF"/>
        </w:rPr>
        <w:t>个类目；在处罚规则上，站方普遍对不良弹幕的处理区分了删除、限制传播、被平台添加标记等措施，并对相应用户的处罚区分了限制部分功能、被平台添加标记、短期封禁、长期封禁、冻结账号等措施。而企业自治规范对法律规则的拓展，也表现为如下两个方面：站方基于弹幕交流的特点和弹幕治理经验，将寻衅滋事、“恶意剧透破坏他人观看体验”、“</w:t>
      </w:r>
      <w:r>
        <w:rPr>
          <w:rFonts w:ascii="Helvetica" w:hAnsi="Helvetica"/>
          <w:szCs w:val="21"/>
          <w:shd w:val="clear" w:color="auto" w:fill="FFFFFF"/>
        </w:rPr>
        <w:t>遮挡正常视频内容或字幕</w:t>
      </w:r>
      <w:r>
        <w:rPr>
          <w:rFonts w:cs="华文宋体" w:hint="eastAsia"/>
          <w:szCs w:val="21"/>
          <w:shd w:val="clear" w:color="auto" w:fill="FFFFFF"/>
        </w:rPr>
        <w:t>”等情形均视作不良弹幕的表现形式。除法律要求各弹幕视频网站建立的</w:t>
      </w:r>
      <w:r>
        <w:rPr>
          <w:rFonts w:hint="eastAsia"/>
          <w:szCs w:val="21"/>
          <w:shd w:val="clear" w:color="auto" w:fill="FFFFFF"/>
        </w:rPr>
        <w:t>系统拦截（过滤算法）、平台巡逻（</w:t>
      </w:r>
      <w:r>
        <w:rPr>
          <w:rFonts w:cs="华文宋体" w:hint="eastAsia"/>
          <w:szCs w:val="21"/>
          <w:shd w:val="clear" w:color="auto" w:fill="FFFFFF"/>
        </w:rPr>
        <w:t>人工审核）制度外，也有少数网络平台建立了众裁制度，即筛选少量资深用户，授予其准裁判者地位判定争议弹幕。</w:t>
      </w:r>
    </w:p>
    <w:p w14:paraId="10342D8F" w14:textId="77777777" w:rsidR="00B95B11" w:rsidRDefault="00000000">
      <w:pPr>
        <w:ind w:firstLineChars="200" w:firstLine="433"/>
        <w:rPr>
          <w:rFonts w:cs="华文宋体" w:hint="eastAsia"/>
          <w:szCs w:val="21"/>
          <w:shd w:val="clear" w:color="auto" w:fill="FFFFFF"/>
        </w:rPr>
      </w:pPr>
      <w:r>
        <w:rPr>
          <w:rFonts w:cs="华文宋体" w:hint="eastAsia"/>
          <w:szCs w:val="21"/>
          <w:shd w:val="clear" w:color="auto" w:fill="FFFFFF"/>
        </w:rPr>
        <w:t>3</w:t>
      </w:r>
      <w:r>
        <w:rPr>
          <w:rFonts w:cs="华文宋体"/>
          <w:szCs w:val="21"/>
          <w:shd w:val="clear" w:color="auto" w:fill="FFFFFF"/>
        </w:rPr>
        <w:t>.</w:t>
      </w:r>
      <w:r>
        <w:rPr>
          <w:rFonts w:cs="华文宋体" w:hint="eastAsia"/>
          <w:szCs w:val="21"/>
          <w:shd w:val="clear" w:color="auto" w:fill="FFFFFF"/>
        </w:rPr>
        <w:t>社会许可</w:t>
      </w:r>
    </w:p>
    <w:p w14:paraId="3CC48D28" w14:textId="77777777" w:rsidR="00B95B11" w:rsidRDefault="00000000">
      <w:pPr>
        <w:ind w:firstLineChars="200" w:firstLine="433"/>
        <w:rPr>
          <w:rFonts w:cs="华文宋体" w:hint="eastAsia"/>
          <w:szCs w:val="21"/>
          <w:shd w:val="clear" w:color="auto" w:fill="FFFFFF"/>
        </w:rPr>
      </w:pPr>
      <w:r>
        <w:rPr>
          <w:rFonts w:cs="华文宋体" w:hint="eastAsia"/>
          <w:szCs w:val="21"/>
          <w:shd w:val="clear" w:color="auto" w:fill="FFFFFF"/>
        </w:rPr>
        <w:t>社会许可在内容上主要表现为消费者的自我约束或对企业的利益诉求，本质上是公众期待的体现。在来源上，社会许可依靠消费者等主体对自身行为习惯和利益诉求的归纳总结；在形式上，社会许可既可能表现为成文化、体系化的规范文本，也可能表现为概括性的口号（诉求、原则）、具体的消费者或企业行动方案、社群内部的默会规则等。</w:t>
      </w:r>
    </w:p>
    <w:p w14:paraId="5B6818F0" w14:textId="77777777" w:rsidR="00B95B11" w:rsidRDefault="00000000">
      <w:pPr>
        <w:ind w:firstLineChars="200" w:firstLine="433"/>
        <w:rPr>
          <w:rFonts w:cs="华文宋体" w:hint="eastAsia"/>
          <w:szCs w:val="21"/>
          <w:shd w:val="clear" w:color="auto" w:fill="FFFFFF"/>
        </w:rPr>
      </w:pPr>
      <w:r>
        <w:rPr>
          <w:rFonts w:cs="华文宋体" w:hint="eastAsia"/>
          <w:szCs w:val="21"/>
          <w:shd w:val="clear" w:color="auto" w:fill="FFFFFF"/>
        </w:rPr>
        <w:t>乳企超越守法现象中的社会许可，其表现形式较为简单和模糊。经历过“大头娃娃”、三鹿奶粉等食品安全事件后，社会公众在相当一段时间内对国产乳制品失去了信任，转为消费进口乳制品。相关统计显示，我国奶类自给率从</w:t>
      </w:r>
      <w:r>
        <w:rPr>
          <w:rFonts w:cs="华文宋体"/>
          <w:szCs w:val="21"/>
          <w:shd w:val="clear" w:color="auto" w:fill="FFFFFF"/>
        </w:rPr>
        <w:t>2008年的98.2%下降到2019年的68.7%</w:t>
      </w:r>
      <w:r>
        <w:rPr>
          <w:rFonts w:cs="华文宋体" w:hint="eastAsia"/>
          <w:szCs w:val="21"/>
          <w:shd w:val="clear" w:color="auto" w:fill="FFFFFF"/>
        </w:rPr>
        <w:t>。</w:t>
      </w:r>
      <w:r>
        <w:rPr>
          <w:rStyle w:val="af1"/>
          <w:rFonts w:cs="华文宋体"/>
          <w:szCs w:val="21"/>
          <w:shd w:val="clear" w:color="auto" w:fill="FFFFFF"/>
        </w:rPr>
        <w:footnoteReference w:id="15"/>
      </w:r>
      <w:r>
        <w:rPr>
          <w:rFonts w:cs="华文宋体" w:hint="eastAsia"/>
          <w:szCs w:val="21"/>
          <w:shd w:val="clear" w:color="auto" w:fill="FFFFFF"/>
        </w:rPr>
        <w:t>可以说，消费者的期待是获取饮用安全的乳制品，但对于究竟怎样才算安全并没有明确的概念。在弹幕治理中，作为社会许可的表现形式，弹幕礼仪则具有鲜明的成文化、体系化特点。弹幕礼仪是用户</w:t>
      </w:r>
      <w:r>
        <w:rPr>
          <w:rFonts w:cs="华文宋体"/>
          <w:szCs w:val="21"/>
          <w:shd w:val="clear" w:color="auto" w:fill="FFFFFF"/>
        </w:rPr>
        <w:t>在使用弹幕的过程中自发形成</w:t>
      </w:r>
      <w:r>
        <w:rPr>
          <w:rFonts w:cs="华文宋体" w:hint="eastAsia"/>
          <w:szCs w:val="21"/>
          <w:shd w:val="clear" w:color="auto" w:fill="FFFFFF"/>
        </w:rPr>
        <w:t>并遵守</w:t>
      </w:r>
      <w:r>
        <w:rPr>
          <w:rFonts w:cs="华文宋体"/>
          <w:szCs w:val="21"/>
          <w:shd w:val="clear" w:color="auto" w:fill="FFFFFF"/>
        </w:rPr>
        <w:t>的关于如何使用弹幕的</w:t>
      </w:r>
      <w:r>
        <w:rPr>
          <w:rFonts w:cs="华文宋体" w:hint="eastAsia"/>
          <w:szCs w:val="21"/>
          <w:shd w:val="clear" w:color="auto" w:fill="FFFFFF"/>
        </w:rPr>
        <w:t>自律性规则体系</w:t>
      </w:r>
      <w:r>
        <w:rPr>
          <w:rFonts w:cs="华文宋体"/>
          <w:szCs w:val="21"/>
          <w:shd w:val="clear" w:color="auto" w:fill="FFFFFF"/>
        </w:rPr>
        <w:t>，旨在维护弹幕友好和谐的氛围。</w:t>
      </w:r>
      <w:r>
        <w:rPr>
          <w:rFonts w:cs="华文宋体" w:hint="eastAsia"/>
          <w:szCs w:val="21"/>
          <w:shd w:val="clear" w:color="auto" w:fill="FFFFFF"/>
        </w:rPr>
        <w:t>尽管</w:t>
      </w:r>
      <w:r>
        <w:rPr>
          <w:rFonts w:cs="华文宋体"/>
          <w:szCs w:val="21"/>
          <w:shd w:val="clear" w:color="auto" w:fill="FFFFFF"/>
        </w:rPr>
        <w:t>弹幕礼仪</w:t>
      </w:r>
      <w:r>
        <w:rPr>
          <w:rFonts w:cs="华文宋体" w:hint="eastAsia"/>
          <w:szCs w:val="21"/>
          <w:shd w:val="clear" w:color="auto" w:fill="FFFFFF"/>
        </w:rPr>
        <w:t>的初始</w:t>
      </w:r>
      <w:r>
        <w:rPr>
          <w:rFonts w:cs="华文宋体"/>
          <w:szCs w:val="21"/>
          <w:shd w:val="clear" w:color="auto" w:fill="FFFFFF"/>
        </w:rPr>
        <w:t>版本已不可考，但根据</w:t>
      </w:r>
      <w:r>
        <w:rPr>
          <w:rFonts w:cs="华文宋体" w:hint="eastAsia"/>
          <w:szCs w:val="21"/>
          <w:shd w:val="clear" w:color="auto" w:fill="FFFFFF"/>
        </w:rPr>
        <w:t>各弹幕视频网站的</w:t>
      </w:r>
      <w:r>
        <w:rPr>
          <w:rFonts w:cs="华文宋体"/>
          <w:szCs w:val="21"/>
          <w:shd w:val="clear" w:color="auto" w:fill="FFFFFF"/>
        </w:rPr>
        <w:t>弹幕礼仪总结视频可以推断，相对完备的版本至少在2013年就已经出现。</w:t>
      </w:r>
      <w:r>
        <w:rPr>
          <w:rStyle w:val="af1"/>
          <w:rFonts w:cs="华文宋体"/>
          <w:szCs w:val="21"/>
          <w:shd w:val="clear" w:color="auto" w:fill="FFFFFF"/>
        </w:rPr>
        <w:footnoteReference w:id="16"/>
      </w:r>
      <w:r>
        <w:rPr>
          <w:rFonts w:cs="华文宋体"/>
          <w:szCs w:val="21"/>
          <w:shd w:val="clear" w:color="auto" w:fill="FFFFFF"/>
        </w:rPr>
        <w:t>根</w:t>
      </w:r>
      <w:r>
        <w:rPr>
          <w:rFonts w:cs="华文宋体"/>
          <w:szCs w:val="21"/>
          <w:shd w:val="clear" w:color="auto" w:fill="FFFFFF"/>
        </w:rPr>
        <w:lastRenderedPageBreak/>
        <w:t>据</w:t>
      </w:r>
      <w:r>
        <w:rPr>
          <w:rFonts w:cs="华文宋体" w:hint="eastAsia"/>
          <w:szCs w:val="21"/>
          <w:shd w:val="clear" w:color="auto" w:fill="FFFFFF"/>
        </w:rPr>
        <w:t>各弹幕视频网站中</w:t>
      </w:r>
      <w:r>
        <w:rPr>
          <w:rFonts w:cs="华文宋体"/>
          <w:szCs w:val="21"/>
          <w:shd w:val="clear" w:color="auto" w:fill="FFFFFF"/>
        </w:rPr>
        <w:t>播放量</w:t>
      </w:r>
      <w:r>
        <w:rPr>
          <w:rFonts w:cs="华文宋体" w:hint="eastAsia"/>
          <w:szCs w:val="21"/>
          <w:shd w:val="clear" w:color="auto" w:fill="FFFFFF"/>
        </w:rPr>
        <w:t>最高</w:t>
      </w:r>
      <w:r>
        <w:rPr>
          <w:rFonts w:cs="华文宋体"/>
          <w:szCs w:val="21"/>
          <w:shd w:val="clear" w:color="auto" w:fill="FFFFFF"/>
        </w:rPr>
        <w:t>的弹幕礼仪总结视频</w:t>
      </w:r>
      <w:r>
        <w:rPr>
          <w:rStyle w:val="af1"/>
          <w:rFonts w:cs="华文宋体"/>
          <w:szCs w:val="21"/>
          <w:shd w:val="clear" w:color="auto" w:fill="FFFFFF"/>
        </w:rPr>
        <w:footnoteReference w:id="17"/>
      </w:r>
      <w:r>
        <w:rPr>
          <w:rFonts w:cs="华文宋体"/>
          <w:szCs w:val="21"/>
          <w:shd w:val="clear" w:color="auto" w:fill="FFFFFF"/>
        </w:rPr>
        <w:t>，可以将</w:t>
      </w:r>
      <w:r>
        <w:rPr>
          <w:rFonts w:cs="华文宋体" w:hint="eastAsia"/>
          <w:szCs w:val="21"/>
          <w:shd w:val="clear" w:color="auto" w:fill="FFFFFF"/>
        </w:rPr>
        <w:t>其</w:t>
      </w:r>
      <w:r>
        <w:rPr>
          <w:rFonts w:cs="华文宋体"/>
          <w:szCs w:val="21"/>
          <w:shd w:val="clear" w:color="auto" w:fill="FFFFFF"/>
        </w:rPr>
        <w:t>归纳</w:t>
      </w:r>
      <w:r>
        <w:rPr>
          <w:rFonts w:cs="华文宋体" w:hint="eastAsia"/>
          <w:szCs w:val="21"/>
          <w:shd w:val="clear" w:color="auto" w:fill="FFFFFF"/>
        </w:rPr>
        <w:t>为</w:t>
      </w:r>
      <w:r>
        <w:rPr>
          <w:rFonts w:cs="华文宋体"/>
          <w:szCs w:val="21"/>
          <w:shd w:val="clear" w:color="auto" w:fill="FFFFFF"/>
        </w:rPr>
        <w:t>鼓励和禁止两类。鼓励类大致包括：用语文明；与视频内容相关；鼓励up主；符合视频气氛；理性、平和、友善；为视频添加翻译、</w:t>
      </w:r>
      <w:r>
        <w:rPr>
          <w:rFonts w:cs="华文宋体" w:hint="eastAsia"/>
          <w:szCs w:val="21"/>
          <w:shd w:val="clear" w:color="auto" w:fill="FFFFFF"/>
        </w:rPr>
        <w:t>字幕或注释弹幕等。而禁止类除与企业自治规范相近的规则外，还包括如下几项：提及其他</w:t>
      </w:r>
      <w:r>
        <w:rPr>
          <w:rFonts w:cs="华文宋体"/>
          <w:szCs w:val="21"/>
          <w:shd w:val="clear" w:color="auto" w:fill="FFFFFF"/>
        </w:rPr>
        <w:t>up主；使用翻译软件发送内容错误的小语种弹幕；发送过长弹幕；提问</w:t>
      </w:r>
      <w:r>
        <w:rPr>
          <w:rFonts w:cs="华文宋体" w:hint="eastAsia"/>
          <w:szCs w:val="21"/>
          <w:shd w:val="clear" w:color="auto" w:fill="FFFFFF"/>
        </w:rPr>
        <w:t>极易解答</w:t>
      </w:r>
      <w:r>
        <w:rPr>
          <w:rFonts w:cs="华文宋体"/>
          <w:szCs w:val="21"/>
          <w:shd w:val="clear" w:color="auto" w:fill="FFFFFF"/>
        </w:rPr>
        <w:t>或up主已经解答过的问题</w:t>
      </w:r>
      <w:r>
        <w:rPr>
          <w:rFonts w:cs="华文宋体" w:hint="eastAsia"/>
          <w:szCs w:val="21"/>
          <w:shd w:val="clear" w:color="auto" w:fill="FFFFFF"/>
        </w:rPr>
        <w:t>等</w:t>
      </w:r>
      <w:r>
        <w:rPr>
          <w:rFonts w:cs="华文宋体"/>
          <w:szCs w:val="21"/>
          <w:shd w:val="clear" w:color="auto" w:fill="FFFFFF"/>
        </w:rPr>
        <w:t>。</w:t>
      </w:r>
    </w:p>
    <w:p w14:paraId="43918E1F" w14:textId="77777777" w:rsidR="00B95B11" w:rsidRDefault="00000000">
      <w:pPr>
        <w:ind w:firstLineChars="200" w:firstLine="433"/>
        <w:rPr>
          <w:rFonts w:cs="华文宋体" w:hint="eastAsia"/>
          <w:szCs w:val="21"/>
          <w:shd w:val="clear" w:color="auto" w:fill="FFFFFF"/>
        </w:rPr>
      </w:pPr>
      <w:r>
        <w:rPr>
          <w:rFonts w:cs="华文宋体" w:hint="eastAsia"/>
          <w:szCs w:val="21"/>
          <w:shd w:val="clear" w:color="auto" w:fill="FFFFFF"/>
        </w:rPr>
        <w:t>社会许可与企业自治规范存在两种关系：第一，前者独立于后者存在，即使后者在自身演变过程中试图吸纳前者，前者也始终保持自身的独立性。如弹幕礼仪由用户自发总结和维护，即使站方在企业自治规范中大量援引弹幕礼仪中的规则，也始终未能获得指定、修改弹幕礼仪的权力。第二，前者基于对后者的反思而存在，即消费者认为企业自治规范不能完全满足自身的利益诉求，于是提出企业应当执行的行动方向或方案。如葛宁汉研究中居民认为附近工厂的排放虽然合乎法律要求，但依然降低了自身的生活质量，因此要求企业进一步提高排放标准。</w:t>
      </w:r>
      <w:r>
        <w:rPr>
          <w:rStyle w:val="af1"/>
          <w:rFonts w:cs="华文宋体"/>
          <w:szCs w:val="21"/>
          <w:shd w:val="clear" w:color="auto" w:fill="FFFFFF"/>
        </w:rPr>
        <w:footnoteReference w:id="18"/>
      </w:r>
    </w:p>
    <w:p w14:paraId="42061A6C" w14:textId="77777777" w:rsidR="00B95B11" w:rsidRDefault="00000000">
      <w:pPr>
        <w:ind w:firstLineChars="200" w:firstLine="433"/>
        <w:rPr>
          <w:rFonts w:cs="华文宋体" w:hint="eastAsia"/>
          <w:szCs w:val="21"/>
          <w:shd w:val="clear" w:color="auto" w:fill="FFFFFF"/>
        </w:rPr>
      </w:pPr>
      <w:r>
        <w:rPr>
          <w:rFonts w:cs="黑体" w:hint="eastAsia"/>
          <w:bCs/>
          <w:szCs w:val="21"/>
        </w:rPr>
        <w:t>在超越守法现象中，社会许可较国家法更为严格。当社会许可较为简单且模糊时，企业看似不需要考虑成文化、体系化的规则，但这也意味着满足公众期待的难度更大。企业必须使自身超越守法现象十分显著，以至于能够使社会公众轻易觉察，才能满足相应的公众期待。例如，在乳企的超越守法现象中，尽管面临国内原料奶价格高企、利润空间被压缩的困境，乳企仍然需要投入大量人、财、物力确保产品安全和质量提升，才能恢复消费者对国产乳制品的信心。而当社会许可存在成文化、体系化的文本时，则可以通过与国家法的规则对比来说明其严格程度。以弹幕治理为例，作为表达的一种形式，弹幕在国家法中以受保护为一般，以受限制为例外。法律法规在正当理由下才能对其予以限制，如《规定》第一条中就以“维护国家安全和公共利益，保护公民、法人和其他组织的合法权益”作为互联网跟帖评论服务的理由。也正因如此，法律法规对弹幕的管理仅仅停留在合法/非法的层面上，通常不会作进一步深入。然而弹幕礼仪在出现之初就在目标上与国家法呈现出显著的区别：弹幕礼仪追求的是和谐友善的弹幕氛围，不仅禁止非法内容的弹幕，也禁止合法但有道德瑕疵的弹幕，甚至禁止合法且无道德瑕疵、仅仅会影响观看效果的弹幕。如在早期弹幕礼仪当中，就有禁止过长弹幕的规则，理由是弹幕内容在变长时移动速度也会变快，用户不仅难以在短时间内读完长弹幕，还会被其遮挡视频画面。</w:t>
      </w:r>
    </w:p>
    <w:p w14:paraId="7F306EEE" w14:textId="77777777" w:rsidR="00B95B11" w:rsidRDefault="00000000">
      <w:pPr>
        <w:ind w:firstLineChars="200" w:firstLine="433"/>
        <w:rPr>
          <w:rFonts w:ascii="黑体" w:eastAsia="黑体" w:hAnsi="黑体" w:cs="华文宋体" w:hint="eastAsia"/>
          <w:szCs w:val="21"/>
          <w:shd w:val="clear" w:color="auto" w:fill="FFFFFF"/>
        </w:rPr>
      </w:pPr>
      <w:r>
        <w:rPr>
          <w:rFonts w:ascii="黑体" w:eastAsia="黑体" w:hAnsi="黑体" w:cs="华文宋体" w:hint="eastAsia"/>
          <w:szCs w:val="21"/>
          <w:shd w:val="clear" w:color="auto" w:fill="FFFFFF"/>
        </w:rPr>
        <w:t>（二）超越守法规范要素的运作机理</w:t>
      </w:r>
    </w:p>
    <w:p w14:paraId="001CAE87" w14:textId="77777777" w:rsidR="00B95B11" w:rsidRDefault="00000000">
      <w:pPr>
        <w:ind w:firstLineChars="200" w:firstLine="433"/>
        <w:rPr>
          <w:rFonts w:cs="黑体" w:hint="eastAsia"/>
          <w:bCs/>
          <w:szCs w:val="21"/>
        </w:rPr>
      </w:pPr>
      <w:r>
        <w:rPr>
          <w:rFonts w:cs="华文宋体" w:hint="eastAsia"/>
          <w:szCs w:val="21"/>
          <w:shd w:val="clear" w:color="auto" w:fill="FFFFFF"/>
        </w:rPr>
        <w:t>葛宁汉指出，社会公众可以通过</w:t>
      </w:r>
      <w:r>
        <w:rPr>
          <w:rFonts w:cs="黑体" w:hint="eastAsia"/>
          <w:bCs/>
          <w:szCs w:val="21"/>
        </w:rPr>
        <w:t>敦促监管部门加强执法或游说立法者制定更为严格的法律规则等方式使国家法为社会规范提供支持。</w:t>
      </w:r>
      <w:r>
        <w:rPr>
          <w:rStyle w:val="af1"/>
          <w:rFonts w:cs="黑体"/>
          <w:bCs/>
          <w:szCs w:val="21"/>
        </w:rPr>
        <w:footnoteReference w:id="19"/>
      </w:r>
      <w:r>
        <w:rPr>
          <w:rFonts w:cs="黑体" w:hint="eastAsia"/>
          <w:bCs/>
          <w:szCs w:val="21"/>
        </w:rPr>
        <w:t>而乳企和弹幕视频网站的超越守法现象，则揭示了另一种运作机理，即国家法强制企业建立监管制度时，同业竞争和消费者选择促使企业主动超越守法，社会许可为企业自治规范提供了规范资源或改良方向，企业自治规范借助社会许可的社群文化减少消费者违规。</w:t>
      </w:r>
      <w:r>
        <w:rPr>
          <w:rFonts w:cs="Calibri" w:hint="eastAsia"/>
          <w:szCs w:val="21"/>
        </w:rPr>
        <w:t>三类规范要素的博弈</w:t>
      </w:r>
      <w:r>
        <w:rPr>
          <w:rFonts w:cs="黑体" w:hint="eastAsia"/>
          <w:bCs/>
          <w:szCs w:val="21"/>
        </w:rPr>
        <w:t>促成了企业超越守法现象的出现。</w:t>
      </w:r>
    </w:p>
    <w:p w14:paraId="67603381" w14:textId="77777777" w:rsidR="00B95B11" w:rsidRDefault="00000000">
      <w:pPr>
        <w:ind w:firstLineChars="200" w:firstLine="433"/>
        <w:rPr>
          <w:rFonts w:cs="黑体" w:hint="eastAsia"/>
          <w:bCs/>
          <w:szCs w:val="21"/>
        </w:rPr>
      </w:pPr>
      <w:r>
        <w:rPr>
          <w:rFonts w:cs="黑体" w:hint="eastAsia"/>
          <w:bCs/>
          <w:szCs w:val="21"/>
        </w:rPr>
        <w:t>第一，国家法强制企业建立监管制度成为超越守法现象出现的背景因素。从国家法的视角出发，消费者使用企业提供的商品或服务，既可能借以实现自身权利，也可能借以实施非法行为，而且企业对商品或服务的内部监管是避免引起质量纠纷的最为经济、有效的方式，因此企业有必要建立内部监管制度。为督促企业自治规范良好运行，相关行政部门还需要通过必要的奖惩措施对企业的内部监管实行外部监管。因此，企业出于规避行政处罚的考虑，应当努力使内部监管做到发现及时、判断准确、处理妥当。如三聚氰胺事件后，国务院迅速出台了</w:t>
      </w:r>
      <w:r>
        <w:rPr>
          <w:rFonts w:hint="eastAsia"/>
          <w:szCs w:val="21"/>
        </w:rPr>
        <w:t>《乳品质量安全监督管理条例》，对乳企的采购、生产和流通提出强制性要求，并通过相关法律法规的制定或修改敦促乳企完善内部监管制度。再如</w:t>
      </w:r>
      <w:r>
        <w:rPr>
          <w:rFonts w:cs="黑体" w:hint="eastAsia"/>
          <w:bCs/>
          <w:szCs w:val="21"/>
        </w:rPr>
        <w:t>弹幕审核制度从无到有的建立，就与2</w:t>
      </w:r>
      <w:r>
        <w:rPr>
          <w:rFonts w:cs="黑体"/>
          <w:bCs/>
          <w:szCs w:val="21"/>
        </w:rPr>
        <w:t>017</w:t>
      </w:r>
      <w:r>
        <w:rPr>
          <w:rFonts w:cs="黑体" w:hint="eastAsia"/>
          <w:bCs/>
          <w:szCs w:val="21"/>
        </w:rPr>
        <w:t>年《规定》的出台直接相关。在此之前，弹幕视频网站鲜少处理用户间因弹幕交流</w:t>
      </w:r>
      <w:r>
        <w:rPr>
          <w:rFonts w:cs="黑体" w:hint="eastAsia"/>
          <w:bCs/>
          <w:szCs w:val="21"/>
        </w:rPr>
        <w:lastRenderedPageBreak/>
        <w:t>产生的纠纷，也没有制定相关企业自治规范。用户间解决纠纷除了联系up主删除弹幕之外，只能在不当弹幕前设置提示弹幕，或者在其后发送弹幕提出批评，以作教育、警示之用。</w:t>
      </w:r>
    </w:p>
    <w:p w14:paraId="70A4BA1F" w14:textId="77777777" w:rsidR="00B95B11" w:rsidRDefault="00B95B11">
      <w:pPr>
        <w:rPr>
          <w:rFonts w:hint="eastAsia"/>
          <w:b/>
          <w:bCs/>
          <w:color w:val="FF0000"/>
          <w:sz w:val="18"/>
          <w:szCs w:val="18"/>
        </w:rPr>
      </w:pPr>
    </w:p>
    <w:p w14:paraId="7A8532D1" w14:textId="77777777" w:rsidR="00B95B11" w:rsidRDefault="00000000">
      <w:pPr>
        <w:rPr>
          <w:rFonts w:hint="eastAsia"/>
          <w:b/>
          <w:bCs/>
          <w:color w:val="FF0000"/>
          <w:sz w:val="18"/>
          <w:szCs w:val="18"/>
        </w:rPr>
      </w:pPr>
      <w:r>
        <w:rPr>
          <w:rFonts w:hint="eastAsia"/>
          <w:b/>
          <w:bCs/>
          <w:color w:val="FF0000"/>
          <w:sz w:val="18"/>
          <w:szCs w:val="18"/>
        </w:rPr>
        <w:t>（以下省略）</w:t>
      </w:r>
    </w:p>
    <w:p w14:paraId="62FB69FE" w14:textId="77777777" w:rsidR="00B95B11" w:rsidRDefault="00B95B11">
      <w:pPr>
        <w:ind w:firstLine="420"/>
        <w:rPr>
          <w:rFonts w:hint="eastAsia"/>
          <w:szCs w:val="21"/>
          <w:shd w:val="clear" w:color="auto" w:fill="FFFFFF"/>
        </w:rPr>
      </w:pPr>
    </w:p>
    <w:p w14:paraId="621E2F08" w14:textId="77777777" w:rsidR="00B95B11" w:rsidRDefault="00B95B11">
      <w:pPr>
        <w:ind w:firstLine="420"/>
        <w:rPr>
          <w:rFonts w:hint="eastAsia"/>
          <w:szCs w:val="21"/>
          <w:shd w:val="clear" w:color="auto" w:fill="FFFFFF"/>
        </w:rPr>
      </w:pPr>
    </w:p>
    <w:p w14:paraId="3AFF261D" w14:textId="77777777" w:rsidR="00B95B11" w:rsidRDefault="00000000">
      <w:pPr>
        <w:ind w:firstLine="420"/>
        <w:jc w:val="center"/>
        <w:rPr>
          <w:rFonts w:hint="eastAsia"/>
          <w:b/>
          <w:bCs/>
          <w:sz w:val="18"/>
          <w:szCs w:val="18"/>
          <w:shd w:val="clear" w:color="auto" w:fill="FFFFFF"/>
        </w:rPr>
      </w:pPr>
      <w:r>
        <w:rPr>
          <w:b/>
          <w:bCs/>
          <w:sz w:val="18"/>
          <w:szCs w:val="18"/>
          <w:shd w:val="clear" w:color="auto" w:fill="FFFFFF"/>
        </w:rPr>
        <w:t>Beyond Compliance: Legal Analysis and Response Strategies</w:t>
      </w:r>
    </w:p>
    <w:p w14:paraId="69660910" w14:textId="77777777" w:rsidR="00B95B11" w:rsidRDefault="00000000">
      <w:pPr>
        <w:ind w:firstLine="420"/>
        <w:jc w:val="center"/>
        <w:rPr>
          <w:rFonts w:hint="eastAsia"/>
          <w:sz w:val="18"/>
          <w:szCs w:val="18"/>
          <w:shd w:val="clear" w:color="auto" w:fill="FFFFFF"/>
        </w:rPr>
      </w:pPr>
      <w:r>
        <w:rPr>
          <w:sz w:val="18"/>
          <w:szCs w:val="18"/>
          <w:shd w:val="clear" w:color="auto" w:fill="FFFFFF"/>
        </w:rPr>
        <w:t>P</w:t>
      </w:r>
      <w:r>
        <w:rPr>
          <w:rFonts w:hint="eastAsia"/>
          <w:sz w:val="18"/>
          <w:szCs w:val="18"/>
          <w:shd w:val="clear" w:color="auto" w:fill="FFFFFF"/>
        </w:rPr>
        <w:t>ENG</w:t>
      </w:r>
      <w:r>
        <w:rPr>
          <w:sz w:val="18"/>
          <w:szCs w:val="18"/>
          <w:shd w:val="clear" w:color="auto" w:fill="FFFFFF"/>
        </w:rPr>
        <w:t xml:space="preserve"> Zhongli, Z</w:t>
      </w:r>
      <w:r>
        <w:rPr>
          <w:rFonts w:hint="eastAsia"/>
          <w:sz w:val="18"/>
          <w:szCs w:val="18"/>
          <w:shd w:val="clear" w:color="auto" w:fill="FFFFFF"/>
        </w:rPr>
        <w:t>HENG</w:t>
      </w:r>
      <w:r>
        <w:rPr>
          <w:sz w:val="18"/>
          <w:szCs w:val="18"/>
          <w:shd w:val="clear" w:color="auto" w:fill="FFFFFF"/>
        </w:rPr>
        <w:t xml:space="preserve"> Zhize</w:t>
      </w:r>
    </w:p>
    <w:p w14:paraId="0A76A58C" w14:textId="77777777" w:rsidR="00B95B11" w:rsidRDefault="00000000">
      <w:pPr>
        <w:ind w:firstLine="420"/>
        <w:jc w:val="center"/>
        <w:rPr>
          <w:rFonts w:hint="eastAsia"/>
          <w:sz w:val="18"/>
          <w:szCs w:val="18"/>
          <w:shd w:val="clear" w:color="auto" w:fill="FFFFFF"/>
        </w:rPr>
      </w:pPr>
      <w:r>
        <w:rPr>
          <w:sz w:val="18"/>
          <w:szCs w:val="18"/>
          <w:shd w:val="clear" w:color="auto" w:fill="FFFFFF"/>
        </w:rPr>
        <w:t>(School of Law, Central South University, Changsha 410083, Hunan)</w:t>
      </w:r>
    </w:p>
    <w:p w14:paraId="04B9B392" w14:textId="77777777" w:rsidR="00B95B11" w:rsidRDefault="00000000">
      <w:pPr>
        <w:ind w:firstLine="420"/>
        <w:rPr>
          <w:rFonts w:hint="eastAsia"/>
          <w:b/>
          <w:bCs/>
          <w:sz w:val="18"/>
          <w:szCs w:val="18"/>
          <w:shd w:val="clear" w:color="auto" w:fill="FFFFFF"/>
        </w:rPr>
      </w:pPr>
      <w:r>
        <w:rPr>
          <w:b/>
          <w:bCs/>
          <w:sz w:val="18"/>
          <w:szCs w:val="18"/>
          <w:shd w:val="clear" w:color="auto" w:fill="FFFFFF"/>
        </w:rPr>
        <w:t xml:space="preserve">Abstract: </w:t>
      </w:r>
      <w:r>
        <w:rPr>
          <w:sz w:val="18"/>
          <w:szCs w:val="18"/>
          <w:shd w:val="clear" w:color="auto" w:fill="FFFFFF"/>
        </w:rPr>
        <w:t>Beyond compliance refers to the phenomenon in which a company formulates and complies with more stringent autonomous norms than the law. Under the mandatory requirements of national laws and the promotion of social licenses, corporate norms have become more stringent. Beyond compliance can be divided into two types: burden self-supporting and burden transfer. The burden transfer type may violate the principle of the rule of law, mainly manifested in the lack of restrictions on the enterprise's own norms, lack of formal legitimacy, and violation of the principle of "rule of law rather than human ". The reasons for this problem include the distortion of diversified normative support mechanisms, difficulty in initiating countermeasures for agenda setting, and the contractualization of consumer rights under the dominance of enterprises. Reasonable regulation of beyond compliance requires clarifying the legal responsibilities of relevant parties through legislation, establishing a reasonable social norm filing and review system, and forming a complete and effective judicial review system. Beyond compliance reveals the possibility of a bottom-up path to a rule-of-law society, but its violation of the principles of the rule of law also indicates that the top-down path to a rule-of-law society should work together to promote the construction of a rule of law society.</w:t>
      </w:r>
    </w:p>
    <w:p w14:paraId="632A94FF" w14:textId="77777777" w:rsidR="00B95B11" w:rsidRDefault="00000000">
      <w:pPr>
        <w:ind w:firstLine="420"/>
        <w:rPr>
          <w:rFonts w:hint="eastAsia"/>
          <w:sz w:val="18"/>
          <w:szCs w:val="18"/>
          <w:shd w:val="clear" w:color="auto" w:fill="FFFFFF"/>
        </w:rPr>
      </w:pPr>
      <w:r>
        <w:rPr>
          <w:b/>
          <w:bCs/>
          <w:sz w:val="18"/>
          <w:szCs w:val="18"/>
          <w:shd w:val="clear" w:color="auto" w:fill="FFFFFF"/>
        </w:rPr>
        <w:t>Keywords:</w:t>
      </w:r>
      <w:r>
        <w:rPr>
          <w:sz w:val="18"/>
          <w:szCs w:val="18"/>
          <w:shd w:val="clear" w:color="auto" w:fill="FFFFFF"/>
        </w:rPr>
        <w:t xml:space="preserve"> Beyond Compliance; Rule of Law; Social Norms; Autonomous Norms; Filing and Review</w:t>
      </w:r>
    </w:p>
    <w:p w14:paraId="73A2D3E0" w14:textId="77777777" w:rsidR="00B95B11" w:rsidRDefault="00B95B11">
      <w:pPr>
        <w:rPr>
          <w:rFonts w:hint="eastAsia"/>
          <w:sz w:val="18"/>
          <w:szCs w:val="18"/>
        </w:rPr>
      </w:pPr>
    </w:p>
    <w:p w14:paraId="48A71F07" w14:textId="77777777" w:rsidR="00B95B11" w:rsidRDefault="00B95B11">
      <w:pPr>
        <w:ind w:right="374"/>
        <w:jc w:val="right"/>
        <w:rPr>
          <w:rFonts w:hint="eastAsia"/>
          <w:sz w:val="18"/>
          <w:szCs w:val="18"/>
        </w:rPr>
      </w:pPr>
    </w:p>
    <w:sectPr w:rsidR="00B95B11">
      <w:footerReference w:type="default" r:id="rId8"/>
      <w:footnotePr>
        <w:numFmt w:val="decimalEnclosedCircleChinese"/>
        <w:numRestart w:val="eachPage"/>
      </w:footnotePr>
      <w:pgSz w:w="11906" w:h="16838"/>
      <w:pgMar w:top="1440" w:right="1077" w:bottom="1440" w:left="1077" w:header="851" w:footer="992" w:gutter="0"/>
      <w:cols w:space="425"/>
      <w:docGrid w:type="linesAndChars" w:linePitch="332" w:charSpace="137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49A0B" w14:textId="77777777" w:rsidR="00E72E45" w:rsidRDefault="00E72E45">
      <w:pPr>
        <w:rPr>
          <w:rFonts w:hint="eastAsia"/>
        </w:rPr>
      </w:pPr>
      <w:r>
        <w:separator/>
      </w:r>
    </w:p>
  </w:endnote>
  <w:endnote w:type="continuationSeparator" w:id="0">
    <w:p w14:paraId="151E2A78" w14:textId="77777777" w:rsidR="00E72E45" w:rsidRDefault="00E72E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Helvetica">
    <w:panose1 w:val="020B0604020202020204"/>
    <w:charset w:val="00"/>
    <w:family w:val="swiss"/>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385213"/>
    </w:sdtPr>
    <w:sdtContent>
      <w:p w14:paraId="58200578" w14:textId="77777777" w:rsidR="00B95B11" w:rsidRDefault="00000000">
        <w:pPr>
          <w:pStyle w:val="a7"/>
          <w:jc w:val="center"/>
          <w:rPr>
            <w:rFonts w:hint="eastAsia"/>
          </w:rPr>
        </w:pPr>
        <w:r>
          <w:fldChar w:fldCharType="begin"/>
        </w:r>
        <w:r>
          <w:instrText>PAGE   \* MERGEFORMAT</w:instrText>
        </w:r>
        <w:r>
          <w:fldChar w:fldCharType="separate"/>
        </w:r>
        <w:r>
          <w:rPr>
            <w:lang w:val="zh-CN"/>
          </w:rPr>
          <w:t>1</w:t>
        </w:r>
        <w:r>
          <w:fldChar w:fldCharType="end"/>
        </w:r>
      </w:p>
    </w:sdtContent>
  </w:sdt>
  <w:p w14:paraId="5F7EBD6F" w14:textId="77777777" w:rsidR="00B95B11" w:rsidRDefault="00B95B11">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242F9" w14:textId="77777777" w:rsidR="00E72E45" w:rsidRDefault="00E72E45">
      <w:pPr>
        <w:rPr>
          <w:rFonts w:hint="eastAsia"/>
        </w:rPr>
      </w:pPr>
      <w:r>
        <w:separator/>
      </w:r>
    </w:p>
  </w:footnote>
  <w:footnote w:type="continuationSeparator" w:id="0">
    <w:p w14:paraId="2561EF29" w14:textId="77777777" w:rsidR="00E72E45" w:rsidRDefault="00E72E45">
      <w:pPr>
        <w:rPr>
          <w:rFonts w:hint="eastAsia"/>
        </w:rPr>
      </w:pPr>
      <w:r>
        <w:continuationSeparator/>
      </w:r>
    </w:p>
  </w:footnote>
  <w:footnote w:id="1">
    <w:p w14:paraId="7BAE6204" w14:textId="77777777" w:rsidR="00B95B11" w:rsidRDefault="00000000">
      <w:pPr>
        <w:pStyle w:val="ab"/>
        <w:ind w:firstLine="420"/>
        <w:rPr>
          <w:rFonts w:hint="eastAsia"/>
          <w:b/>
          <w:bCs/>
        </w:rPr>
      </w:pPr>
      <w:r>
        <w:rPr>
          <w:rFonts w:hint="eastAsia"/>
          <w:b/>
          <w:bCs/>
        </w:rPr>
        <w:t>收稿日期：</w:t>
      </w:r>
      <w:r>
        <w:rPr>
          <w:rFonts w:hint="eastAsia"/>
          <w:bCs/>
        </w:rPr>
        <w:t>2023-12-13</w:t>
      </w:r>
    </w:p>
    <w:p w14:paraId="6BF31E99" w14:textId="77777777" w:rsidR="00B95B11" w:rsidRDefault="00000000">
      <w:pPr>
        <w:pStyle w:val="ab"/>
        <w:ind w:firstLine="420"/>
        <w:rPr>
          <w:rFonts w:hint="eastAsia"/>
          <w:b/>
          <w:bCs/>
        </w:rPr>
      </w:pPr>
      <w:r>
        <w:rPr>
          <w:rFonts w:hint="eastAsia"/>
          <w:b/>
          <w:bCs/>
        </w:rPr>
        <w:t>基金项目：</w:t>
      </w:r>
      <w:r>
        <w:rPr>
          <w:rFonts w:ascii="楷体" w:eastAsia="楷体" w:hAnsi="楷体" w:hint="eastAsia"/>
        </w:rPr>
        <w:t>研究阐释党的十九届五中全会精神国家社会科学基金重大项目“中国共产党司法政策百年发展史研究”</w:t>
      </w:r>
      <w:r>
        <w:rPr>
          <w:rFonts w:ascii="楷体" w:eastAsia="楷体" w:hAnsi="楷体"/>
        </w:rPr>
        <w:t>(21ZDA120)</w:t>
      </w:r>
      <w:r>
        <w:rPr>
          <w:b/>
          <w:bCs/>
        </w:rPr>
        <w:t xml:space="preserve"> </w:t>
      </w:r>
    </w:p>
    <w:p w14:paraId="68E9CA31" w14:textId="77777777" w:rsidR="00B95B11" w:rsidRDefault="00000000">
      <w:pPr>
        <w:pStyle w:val="ab"/>
        <w:ind w:firstLine="420"/>
        <w:rPr>
          <w:rFonts w:ascii="楷体" w:eastAsia="楷体" w:hAnsi="楷体" w:hint="eastAsia"/>
        </w:rPr>
      </w:pPr>
      <w:r>
        <w:rPr>
          <w:rFonts w:hint="eastAsia"/>
          <w:b/>
          <w:bCs/>
        </w:rPr>
        <w:t>作者简介：</w:t>
      </w:r>
      <w:r>
        <w:rPr>
          <w:rFonts w:ascii="楷体" w:eastAsia="楷体" w:hAnsi="楷体" w:hint="eastAsia"/>
        </w:rPr>
        <w:t>彭中礼，男，湖南隆回人，中南大学法学院教授、博士生导师；郑志泽，男，河北张家口人，中南大学法学院博士研究生。</w:t>
      </w:r>
    </w:p>
    <w:p w14:paraId="6BFEA851" w14:textId="77777777" w:rsidR="00B95B11" w:rsidRDefault="00000000">
      <w:pPr>
        <w:pStyle w:val="ab"/>
        <w:ind w:firstLine="420"/>
        <w:rPr>
          <w:rFonts w:ascii="Times New Roman" w:hAnsi="Times New Roman" w:cs="Times New Roman"/>
        </w:rPr>
      </w:pPr>
      <w:r>
        <w:rPr>
          <w:rStyle w:val="af1"/>
        </w:rPr>
        <w:footnoteRef/>
      </w:r>
      <w:r>
        <w:t xml:space="preserve"> </w:t>
      </w:r>
      <w:r>
        <w:rPr>
          <w:rFonts w:ascii="Times New Roman" w:hAnsi="Times New Roman" w:cs="Times New Roman"/>
        </w:rPr>
        <w:t xml:space="preserve">B. Smart, </w:t>
      </w:r>
      <w:r>
        <w:rPr>
          <w:rFonts w:ascii="Times New Roman" w:hAnsi="Times New Roman" w:cs="Times New Roman"/>
          <w:i/>
        </w:rPr>
        <w:t>Beyond Compliance: A New Industry View of the Environment</w:t>
      </w:r>
      <w:r>
        <w:rPr>
          <w:rFonts w:ascii="Times New Roman" w:hAnsi="Times New Roman" w:cs="Times New Roman"/>
        </w:rPr>
        <w:t>, World Resources Inst.,1992.</w:t>
      </w:r>
    </w:p>
  </w:footnote>
  <w:footnote w:id="2">
    <w:p w14:paraId="238C288F" w14:textId="77777777" w:rsidR="00B95B11" w:rsidRDefault="00000000">
      <w:pPr>
        <w:pStyle w:val="ab"/>
        <w:ind w:firstLine="420"/>
        <w:rPr>
          <w:rFonts w:ascii="Times New Roman" w:hAnsi="Times New Roman" w:cs="Times New Roman"/>
        </w:rPr>
      </w:pPr>
      <w:r>
        <w:rPr>
          <w:rStyle w:val="af1"/>
          <w:rFonts w:ascii="Times New Roman" w:hAnsi="Times New Roman" w:cs="Times New Roman"/>
        </w:rPr>
        <w:footnoteRef/>
      </w:r>
      <w:r>
        <w:rPr>
          <w:rFonts w:ascii="Times New Roman" w:hAnsi="Times New Roman" w:cs="Times New Roman"/>
        </w:rPr>
        <w:t xml:space="preserve"> </w:t>
      </w:r>
      <w:r>
        <w:rPr>
          <w:rStyle w:val="fontstyle01"/>
          <w:rFonts w:ascii="Times New Roman" w:hAnsi="Times New Roman" w:cs="Times New Roman" w:hint="default"/>
          <w:color w:val="auto"/>
          <w:sz w:val="18"/>
          <w:szCs w:val="18"/>
        </w:rPr>
        <w:t>Neil Gunningham, Robert Kagan &amp; Dorothy Thornton,</w:t>
      </w:r>
      <w:r>
        <w:rPr>
          <w:rStyle w:val="fontstyle01"/>
          <w:rFonts w:ascii="Times New Roman" w:hAnsi="Times New Roman" w:cs="Times New Roman" w:hint="default"/>
          <w:i/>
          <w:color w:val="auto"/>
          <w:sz w:val="18"/>
          <w:szCs w:val="18"/>
        </w:rPr>
        <w:t xml:space="preserve"> “</w:t>
      </w:r>
      <w:r>
        <w:rPr>
          <w:rStyle w:val="fontstyle01"/>
          <w:rFonts w:ascii="Times New Roman" w:hAnsi="Times New Roman" w:cs="Times New Roman" w:hint="default"/>
          <w:color w:val="auto"/>
          <w:sz w:val="18"/>
          <w:szCs w:val="18"/>
        </w:rPr>
        <w:t xml:space="preserve">Social License and Environmental Protection: Why Businesses Go Beyond Compliance”, </w:t>
      </w:r>
      <w:r>
        <w:rPr>
          <w:rStyle w:val="fontstyle01"/>
          <w:rFonts w:ascii="Times New Roman" w:hAnsi="Times New Roman" w:cs="Times New Roman" w:hint="default"/>
          <w:i/>
          <w:color w:val="auto"/>
          <w:sz w:val="18"/>
          <w:szCs w:val="18"/>
        </w:rPr>
        <w:t>Law &amp; Social Inquiry</w:t>
      </w:r>
      <w:r>
        <w:rPr>
          <w:rStyle w:val="fontstyle01"/>
          <w:rFonts w:ascii="Times New Roman" w:hAnsi="Times New Roman" w:cs="Times New Roman" w:hint="default"/>
          <w:color w:val="auto"/>
          <w:sz w:val="18"/>
          <w:szCs w:val="18"/>
        </w:rPr>
        <w:t>, 2006,29(2),pp.307-341.</w:t>
      </w:r>
    </w:p>
  </w:footnote>
  <w:footnote w:id="3">
    <w:p w14:paraId="52FCB69D" w14:textId="77777777" w:rsidR="00B95B11" w:rsidRDefault="00000000">
      <w:pPr>
        <w:pStyle w:val="ab"/>
        <w:ind w:firstLine="420"/>
        <w:rPr>
          <w:rFonts w:ascii="Times New Roman" w:hAnsi="Times New Roman" w:cs="Times New Roman"/>
        </w:rPr>
      </w:pPr>
      <w:r>
        <w:rPr>
          <w:rStyle w:val="af1"/>
          <w:rFonts w:ascii="Times New Roman" w:hAnsi="Times New Roman" w:cs="Times New Roman"/>
        </w:rPr>
        <w:footnoteRef/>
      </w:r>
      <w:r>
        <w:rPr>
          <w:rFonts w:ascii="Times New Roman" w:hAnsi="Times New Roman" w:cs="Times New Roman"/>
        </w:rPr>
        <w:t xml:space="preserve"> Suprun E, AlMeshari R, Liu T, . “Beyond compliance in the construction sector: Mapping the modern slavery statements through content analysis”</w:t>
      </w:r>
      <w:r>
        <w:rPr>
          <w:rFonts w:ascii="Times New Roman" w:hAnsi="Times New Roman" w:cs="Times New Roman"/>
        </w:rPr>
        <w:t>，</w:t>
      </w:r>
      <w:r>
        <w:rPr>
          <w:rFonts w:ascii="Times New Roman" w:hAnsi="Times New Roman" w:cs="Times New Roman"/>
        </w:rPr>
        <w:t>2022-12-07</w:t>
      </w:r>
      <w:r>
        <w:rPr>
          <w:rFonts w:ascii="Times New Roman" w:hAnsi="Times New Roman" w:cs="Times New Roman"/>
        </w:rPr>
        <w:t>，</w:t>
      </w:r>
      <w:r>
        <w:rPr>
          <w:rFonts w:ascii="Times New Roman" w:hAnsi="Times New Roman" w:cs="Times New Roman"/>
        </w:rPr>
        <w:t>https://iopscience.iop.org/article/10.1088/1755-1315/1101/3/032018/meta</w:t>
      </w:r>
      <w:r>
        <w:rPr>
          <w:rFonts w:ascii="Times New Roman" w:hAnsi="Times New Roman" w:cs="Times New Roman"/>
        </w:rPr>
        <w:t>，</w:t>
      </w:r>
      <w:r>
        <w:rPr>
          <w:rFonts w:ascii="Times New Roman" w:hAnsi="Times New Roman" w:cs="Times New Roman"/>
        </w:rPr>
        <w:t>2023-04-01.</w:t>
      </w:r>
    </w:p>
  </w:footnote>
  <w:footnote w:id="4">
    <w:p w14:paraId="43F67582" w14:textId="77777777" w:rsidR="00B95B11" w:rsidRDefault="00000000">
      <w:pPr>
        <w:pStyle w:val="ab"/>
        <w:ind w:firstLine="420"/>
        <w:rPr>
          <w:rFonts w:ascii="Times New Roman" w:hAnsi="Times New Roman" w:cs="Times New Roman"/>
        </w:rPr>
      </w:pPr>
      <w:r>
        <w:rPr>
          <w:rStyle w:val="af1"/>
          <w:rFonts w:ascii="Times New Roman" w:hAnsi="Times New Roman" w:cs="Times New Roman"/>
        </w:rPr>
        <w:footnoteRef/>
      </w:r>
      <w:r>
        <w:rPr>
          <w:rFonts w:ascii="Times New Roman" w:hAnsi="Times New Roman" w:cs="Times New Roman"/>
        </w:rPr>
        <w:t xml:space="preserve"> Vazquez-Brust, Diego A., and José Antonio Plaza-Úbeda. </w:t>
      </w:r>
      <w:r>
        <w:rPr>
          <w:rFonts w:ascii="Times New Roman" w:hAnsi="Times New Roman" w:cs="Times New Roman" w:hint="eastAsia"/>
        </w:rPr>
        <w:t>“</w:t>
      </w:r>
      <w:r>
        <w:rPr>
          <w:rFonts w:ascii="Times New Roman" w:hAnsi="Times New Roman" w:cs="Times New Roman"/>
        </w:rPr>
        <w:t>What characteristics do the firms have that go beyond compliance with regulation in environmental protection? A multiple discriminant analysis</w:t>
      </w:r>
      <w:r>
        <w:rPr>
          <w:rFonts w:ascii="Times New Roman" w:hAnsi="Times New Roman" w:cs="Times New Roman" w:hint="eastAsia"/>
        </w:rPr>
        <w:t>”</w:t>
      </w: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i/>
        </w:rPr>
        <w:t>Sustainability</w:t>
      </w:r>
      <w:r>
        <w:rPr>
          <w:rFonts w:ascii="Times New Roman" w:hAnsi="Times New Roman" w:cs="Times New Roman"/>
        </w:rPr>
        <w:t>，</w:t>
      </w:r>
      <w:r>
        <w:rPr>
          <w:rFonts w:ascii="Times New Roman" w:hAnsi="Times New Roman" w:cs="Times New Roman"/>
        </w:rPr>
        <w:t>2021</w:t>
      </w:r>
      <w:r>
        <w:rPr>
          <w:rFonts w:ascii="Times New Roman" w:hAnsi="Times New Roman" w:cs="Times New Roman" w:hint="eastAsia"/>
        </w:rPr>
        <w:t>,</w:t>
      </w:r>
      <w:r>
        <w:rPr>
          <w:rFonts w:ascii="Times New Roman" w:hAnsi="Times New Roman" w:cs="Times New Roman"/>
        </w:rPr>
        <w:t xml:space="preserve">13(4),p.1873. </w:t>
      </w:r>
    </w:p>
  </w:footnote>
  <w:footnote w:id="5">
    <w:p w14:paraId="6106D936" w14:textId="77777777" w:rsidR="00B95B11" w:rsidRDefault="00000000">
      <w:pPr>
        <w:pStyle w:val="ab"/>
        <w:ind w:firstLine="420"/>
        <w:rPr>
          <w:rFonts w:hint="eastAsia"/>
        </w:rPr>
      </w:pPr>
      <w:r>
        <w:rPr>
          <w:rStyle w:val="af1"/>
        </w:rPr>
        <w:footnoteRef/>
      </w:r>
      <w:r>
        <w:t xml:space="preserve"> </w:t>
      </w:r>
      <w:r>
        <w:rPr>
          <w:rFonts w:hint="eastAsia"/>
        </w:rPr>
        <w:t>新华社：《生鲜乳中国农垦乳业联盟团体标准发布》，2</w:t>
      </w:r>
      <w:r>
        <w:t>019-11-25</w:t>
      </w:r>
      <w:r>
        <w:rPr>
          <w:rFonts w:hint="eastAsia"/>
        </w:rPr>
        <w:t>，</w:t>
      </w:r>
      <w:r>
        <w:t>http://www.gov.cn/xinwen/2019-11/25/content_5455424.htm</w:t>
      </w:r>
      <w:r>
        <w:rPr>
          <w:rFonts w:hint="eastAsia"/>
        </w:rPr>
        <w:t>，2</w:t>
      </w:r>
      <w:r>
        <w:t>023</w:t>
      </w:r>
      <w:r>
        <w:rPr>
          <w:rFonts w:hint="eastAsia"/>
        </w:rPr>
        <w:t>-05-</w:t>
      </w:r>
      <w:r>
        <w:t>21</w:t>
      </w:r>
      <w:r>
        <w:rPr>
          <w:rFonts w:hint="eastAsia"/>
        </w:rPr>
        <w:t>。</w:t>
      </w:r>
    </w:p>
  </w:footnote>
  <w:footnote w:id="6">
    <w:p w14:paraId="5EC7D66A" w14:textId="77777777" w:rsidR="00B95B11" w:rsidRDefault="00000000">
      <w:pPr>
        <w:pStyle w:val="ab"/>
        <w:ind w:firstLine="420"/>
        <w:rPr>
          <w:rFonts w:hint="eastAsia"/>
        </w:rPr>
      </w:pPr>
      <w:r>
        <w:rPr>
          <w:rStyle w:val="af1"/>
        </w:rPr>
        <w:footnoteRef/>
      </w:r>
      <w:r>
        <w:t xml:space="preserve"> </w:t>
      </w:r>
      <w:r>
        <w:rPr>
          <w:rFonts w:hint="eastAsia"/>
        </w:rPr>
        <w:t>Bilibili：《社区公约》，2</w:t>
      </w:r>
      <w:r>
        <w:t>023-04-26</w:t>
      </w:r>
      <w:r>
        <w:rPr>
          <w:rFonts w:hint="eastAsia"/>
        </w:rPr>
        <w:t>，</w:t>
      </w:r>
      <w:r>
        <w:t>https://member.bilibili.com/platform/convention/，</w:t>
      </w:r>
      <w:r>
        <w:rPr>
          <w:rFonts w:hint="eastAsia"/>
        </w:rPr>
        <w:t>2</w:t>
      </w:r>
      <w:r>
        <w:t>024-03-29</w:t>
      </w:r>
      <w:r>
        <w:rPr>
          <w:rFonts w:hint="eastAsia"/>
        </w:rPr>
        <w:t>。</w:t>
      </w:r>
    </w:p>
  </w:footnote>
  <w:footnote w:id="7">
    <w:p w14:paraId="33798CA1" w14:textId="77777777" w:rsidR="00B95B11" w:rsidRDefault="00000000">
      <w:pPr>
        <w:pStyle w:val="ab"/>
        <w:ind w:firstLine="420"/>
        <w:rPr>
          <w:rFonts w:hint="eastAsia"/>
        </w:rPr>
      </w:pPr>
      <w:r>
        <w:rPr>
          <w:rStyle w:val="af1"/>
        </w:rPr>
        <w:footnoteRef/>
      </w:r>
      <w:r>
        <w:rPr>
          <w:rFonts w:hint="eastAsia"/>
        </w:rPr>
        <w:t xml:space="preserve"> </w:t>
      </w:r>
      <w:r>
        <w:t>何自云</w:t>
      </w:r>
      <w:r>
        <w:rPr>
          <w:rFonts w:hint="eastAsia"/>
        </w:rPr>
        <w:t>：《</w:t>
      </w:r>
      <w:r>
        <w:t>超越合规</w:t>
      </w:r>
      <w:r>
        <w:rPr>
          <w:rFonts w:hint="eastAsia"/>
        </w:rPr>
        <w:t>》，《</w:t>
      </w:r>
      <w:r>
        <w:t>中国金融</w:t>
      </w:r>
      <w:r>
        <w:rPr>
          <w:rFonts w:hint="eastAsia"/>
        </w:rPr>
        <w:t>》</w:t>
      </w:r>
      <w:r>
        <w:t>2008</w:t>
      </w:r>
      <w:r>
        <w:rPr>
          <w:rFonts w:hint="eastAsia"/>
        </w:rPr>
        <w:t>年第1</w:t>
      </w:r>
      <w:r>
        <w:t>2</w:t>
      </w:r>
      <w:r>
        <w:rPr>
          <w:rFonts w:hint="eastAsia"/>
        </w:rPr>
        <w:t>期。</w:t>
      </w:r>
    </w:p>
  </w:footnote>
  <w:footnote w:id="8">
    <w:p w14:paraId="5914DA72" w14:textId="77777777" w:rsidR="00B95B11" w:rsidRDefault="00000000">
      <w:pPr>
        <w:pStyle w:val="ab"/>
        <w:ind w:firstLine="420"/>
        <w:rPr>
          <w:rFonts w:hint="eastAsia"/>
        </w:rPr>
      </w:pPr>
      <w:r>
        <w:rPr>
          <w:rStyle w:val="af1"/>
        </w:rPr>
        <w:footnoteRef/>
      </w:r>
      <w:r>
        <w:rPr>
          <w:rFonts w:hint="eastAsia"/>
        </w:rPr>
        <w:t xml:space="preserve"> </w:t>
      </w:r>
      <w:r>
        <w:t>肖惠娜</w:t>
      </w:r>
      <w:r>
        <w:rPr>
          <w:rFonts w:hint="eastAsia"/>
        </w:rPr>
        <w:t>：《</w:t>
      </w:r>
      <w:r>
        <w:t>人们为什么不守法？——守法理论研究述评</w:t>
      </w:r>
      <w:r>
        <w:rPr>
          <w:rFonts w:hint="eastAsia"/>
        </w:rPr>
        <w:t>》，《</w:t>
      </w:r>
      <w:r>
        <w:t>中国法律评论</w:t>
      </w:r>
      <w:r>
        <w:rPr>
          <w:rFonts w:hint="eastAsia"/>
        </w:rPr>
        <w:t>》</w:t>
      </w:r>
      <w:r>
        <w:t>2022</w:t>
      </w:r>
      <w:r>
        <w:rPr>
          <w:rFonts w:hint="eastAsia"/>
        </w:rPr>
        <w:t>年第2期。</w:t>
      </w:r>
    </w:p>
  </w:footnote>
  <w:footnote w:id="9">
    <w:p w14:paraId="100D3F14" w14:textId="77777777" w:rsidR="00B95B11" w:rsidRDefault="00000000">
      <w:pPr>
        <w:pStyle w:val="ab"/>
        <w:ind w:firstLine="420"/>
        <w:rPr>
          <w:rFonts w:hint="eastAsia"/>
        </w:rPr>
      </w:pPr>
      <w:r>
        <w:rPr>
          <w:rStyle w:val="af1"/>
        </w:rPr>
        <w:footnoteRef/>
      </w:r>
      <w:r>
        <w:t xml:space="preserve"> </w:t>
      </w:r>
      <w:r>
        <w:rPr>
          <w:rFonts w:hint="eastAsia"/>
        </w:rPr>
        <w:t>即制作、翻译、搬运（将网站</w:t>
      </w:r>
      <w:r>
        <w:t>a中的内容发布在网站b）视频者，因为视频的发布需要将文件从本地上传（upload）到网站的步骤，所以被统称为up主。</w:t>
      </w:r>
    </w:p>
  </w:footnote>
  <w:footnote w:id="10">
    <w:p w14:paraId="673998D0" w14:textId="77777777" w:rsidR="00B95B11" w:rsidRDefault="00000000">
      <w:pPr>
        <w:pStyle w:val="ab"/>
        <w:ind w:firstLine="420"/>
        <w:rPr>
          <w:rFonts w:hint="eastAsia"/>
        </w:rPr>
      </w:pPr>
      <w:r>
        <w:rPr>
          <w:rStyle w:val="af1"/>
        </w:rPr>
        <w:footnoteRef/>
      </w:r>
      <w:r>
        <w:t xml:space="preserve"> 赵鹏</w:t>
      </w:r>
      <w:r>
        <w:rPr>
          <w:rFonts w:hint="eastAsia"/>
        </w:rPr>
        <w:t>：《</w:t>
      </w:r>
      <w:r>
        <w:t>私人审查的界限——论网络交易平台对消费者内容的行政责任</w:t>
      </w:r>
      <w:r>
        <w:rPr>
          <w:rFonts w:hint="eastAsia"/>
        </w:rPr>
        <w:t>》，《</w:t>
      </w:r>
      <w:r>
        <w:t>清华法学</w:t>
      </w:r>
      <w:r>
        <w:rPr>
          <w:rFonts w:hint="eastAsia"/>
        </w:rPr>
        <w:t>》</w:t>
      </w:r>
      <w:r>
        <w:t>2016</w:t>
      </w:r>
      <w:r>
        <w:rPr>
          <w:rFonts w:hint="eastAsia"/>
        </w:rPr>
        <w:t>年第6期。</w:t>
      </w:r>
    </w:p>
  </w:footnote>
  <w:footnote w:id="11">
    <w:p w14:paraId="27A84665" w14:textId="77777777" w:rsidR="00B95B11" w:rsidRDefault="00000000">
      <w:pPr>
        <w:pStyle w:val="ab"/>
        <w:ind w:firstLine="420"/>
        <w:rPr>
          <w:rFonts w:hint="eastAsia"/>
        </w:rPr>
      </w:pPr>
      <w:r>
        <w:rPr>
          <w:rStyle w:val="af1"/>
        </w:rPr>
        <w:footnoteRef/>
      </w:r>
      <w:r>
        <w:rPr>
          <w:rFonts w:hint="eastAsia"/>
        </w:rPr>
        <w:t xml:space="preserve"> 周学峰，李平主编：《网络平台治理与法律责任》，北京：中国法制出版社，2</w:t>
      </w:r>
      <w:r>
        <w:t>018</w:t>
      </w:r>
      <w:r>
        <w:rPr>
          <w:rFonts w:hint="eastAsia"/>
        </w:rPr>
        <w:t>年，第</w:t>
      </w:r>
      <w:r>
        <w:t>384</w:t>
      </w:r>
      <w:r>
        <w:rPr>
          <w:rFonts w:hint="eastAsia"/>
        </w:rPr>
        <w:t>页。</w:t>
      </w:r>
    </w:p>
  </w:footnote>
  <w:footnote w:id="12">
    <w:p w14:paraId="7DA15A91" w14:textId="77777777" w:rsidR="00B95B11" w:rsidRDefault="00000000">
      <w:pPr>
        <w:pStyle w:val="ab"/>
        <w:ind w:firstLine="420"/>
        <w:rPr>
          <w:rFonts w:hint="eastAsia"/>
        </w:rPr>
      </w:pPr>
      <w:r>
        <w:rPr>
          <w:rStyle w:val="af1"/>
        </w:rPr>
        <w:footnoteRef/>
      </w:r>
      <w:r>
        <w:t xml:space="preserve"> </w:t>
      </w:r>
      <w:r>
        <w:rPr>
          <w:rFonts w:hint="eastAsia"/>
        </w:rPr>
        <w:t>杨乐：《网络平台法律责任探究》，北京：电子工业出版社，2</w:t>
      </w:r>
      <w:r>
        <w:t>020</w:t>
      </w:r>
      <w:r>
        <w:rPr>
          <w:rFonts w:hint="eastAsia"/>
        </w:rPr>
        <w:t>年，2</w:t>
      </w:r>
      <w:r>
        <w:t>7-28</w:t>
      </w:r>
      <w:r>
        <w:rPr>
          <w:rFonts w:hint="eastAsia"/>
        </w:rPr>
        <w:t>页。</w:t>
      </w:r>
    </w:p>
  </w:footnote>
  <w:footnote w:id="13">
    <w:p w14:paraId="321C70A0" w14:textId="77777777" w:rsidR="00B95B11" w:rsidRDefault="00000000">
      <w:pPr>
        <w:pStyle w:val="ab"/>
        <w:ind w:firstLine="420"/>
        <w:rPr>
          <w:rFonts w:hint="eastAsia"/>
        </w:rPr>
      </w:pPr>
      <w:r>
        <w:rPr>
          <w:rStyle w:val="af1"/>
        </w:rPr>
        <w:footnoteRef/>
      </w:r>
      <w:r>
        <w:t xml:space="preserve"> </w:t>
      </w:r>
      <w:r>
        <w:rPr>
          <w:rFonts w:hint="eastAsia"/>
        </w:rPr>
        <w:t>该理论由</w:t>
      </w:r>
      <w:r>
        <w:rPr>
          <w:rFonts w:hint="eastAsia"/>
          <w:szCs w:val="21"/>
        </w:rPr>
        <w:t>国际商学界自2</w:t>
      </w:r>
      <w:r>
        <w:rPr>
          <w:szCs w:val="21"/>
        </w:rPr>
        <w:t>0</w:t>
      </w:r>
      <w:r>
        <w:rPr>
          <w:rFonts w:hint="eastAsia"/>
          <w:szCs w:val="21"/>
        </w:rPr>
        <w:t>世纪6</w:t>
      </w:r>
      <w:r>
        <w:rPr>
          <w:szCs w:val="21"/>
        </w:rPr>
        <w:t>0</w:t>
      </w:r>
      <w:r>
        <w:rPr>
          <w:rFonts w:hint="eastAsia"/>
          <w:szCs w:val="21"/>
        </w:rPr>
        <w:t>年代提出，以解决价值创造与交易、资本主义伦理、管理者思维方式等问题，至今已成为商学经典理论。</w:t>
      </w:r>
      <w:r>
        <w:rPr>
          <w:rFonts w:hint="eastAsia"/>
        </w:rPr>
        <w:t>参见爱德华·弗里曼、杰弗里·哈里森、安德鲁·威克斯等：《利益相关者理论：现状与展望》，盛亚、李靖华、王节祥等译，北京：知识产权出版社，2</w:t>
      </w:r>
      <w:r>
        <w:t>013</w:t>
      </w:r>
      <w:r>
        <w:rPr>
          <w:rFonts w:hint="eastAsia"/>
        </w:rPr>
        <w:t>年，第</w:t>
      </w:r>
      <w:r>
        <w:t>4-5</w:t>
      </w:r>
      <w:r>
        <w:rPr>
          <w:rFonts w:hint="eastAsia"/>
        </w:rPr>
        <w:t>页。</w:t>
      </w:r>
    </w:p>
  </w:footnote>
  <w:footnote w:id="14">
    <w:p w14:paraId="08197F06" w14:textId="77777777" w:rsidR="00B95B11" w:rsidRDefault="00000000">
      <w:pPr>
        <w:pStyle w:val="ab"/>
        <w:ind w:firstLine="420"/>
        <w:rPr>
          <w:rFonts w:hint="eastAsia"/>
        </w:rPr>
      </w:pPr>
      <w:r>
        <w:rPr>
          <w:rStyle w:val="af1"/>
        </w:rPr>
        <w:footnoteRef/>
      </w:r>
      <w:r>
        <w:t xml:space="preserve"> </w:t>
      </w:r>
      <w:r>
        <w:rPr>
          <w:rFonts w:hint="eastAsia"/>
        </w:rPr>
        <w:t>爱德华·弗里曼、杰弗里·哈里森、安德鲁·威克斯等：《利益相关者理论：现状与展望》，第</w:t>
      </w:r>
      <w:r>
        <w:t>16-20</w:t>
      </w:r>
      <w:r>
        <w:rPr>
          <w:rFonts w:hint="eastAsia"/>
        </w:rPr>
        <w:t>页。</w:t>
      </w:r>
    </w:p>
  </w:footnote>
  <w:footnote w:id="15">
    <w:p w14:paraId="626C3806" w14:textId="77777777" w:rsidR="00B95B11" w:rsidRDefault="00000000">
      <w:pPr>
        <w:pStyle w:val="ab"/>
        <w:ind w:firstLine="420"/>
        <w:rPr>
          <w:rFonts w:hint="eastAsia"/>
        </w:rPr>
      </w:pPr>
      <w:r>
        <w:rPr>
          <w:rStyle w:val="af1"/>
        </w:rPr>
        <w:footnoteRef/>
      </w:r>
      <w:r>
        <w:t xml:space="preserve"> 陈兵</w:t>
      </w:r>
      <w:r>
        <w:rPr>
          <w:rFonts w:hint="eastAsia"/>
        </w:rPr>
        <w:t>，</w:t>
      </w:r>
      <w:r>
        <w:t>程郁</w:t>
      </w:r>
      <w:r>
        <w:rPr>
          <w:rFonts w:hint="eastAsia"/>
        </w:rPr>
        <w:t>，</w:t>
      </w:r>
      <w:r>
        <w:t>张军平等</w:t>
      </w:r>
      <w:r>
        <w:rPr>
          <w:rFonts w:hint="eastAsia"/>
        </w:rPr>
        <w:t>：《</w:t>
      </w:r>
      <w:r>
        <w:t>高水平开放对我国奶业的冲击与应对措施</w:t>
      </w:r>
      <w:r>
        <w:rPr>
          <w:rFonts w:hint="eastAsia"/>
        </w:rPr>
        <w:t>》，《</w:t>
      </w:r>
      <w:r>
        <w:t>中国畜牧杂志</w:t>
      </w:r>
      <w:r>
        <w:rPr>
          <w:rFonts w:hint="eastAsia"/>
        </w:rPr>
        <w:t>》</w:t>
      </w:r>
      <w:r>
        <w:t>2021</w:t>
      </w:r>
      <w:r>
        <w:rPr>
          <w:rFonts w:hint="eastAsia"/>
        </w:rPr>
        <w:t>年第4期。</w:t>
      </w:r>
    </w:p>
  </w:footnote>
  <w:footnote w:id="16">
    <w:p w14:paraId="6CAE1A0A" w14:textId="77777777" w:rsidR="00B95B11" w:rsidRDefault="00000000">
      <w:pPr>
        <w:pStyle w:val="ab"/>
        <w:ind w:firstLine="420"/>
        <w:rPr>
          <w:rFonts w:hint="eastAsia"/>
        </w:rPr>
      </w:pPr>
      <w:r>
        <w:rPr>
          <w:rStyle w:val="af1"/>
        </w:rPr>
        <w:footnoteRef/>
      </w:r>
      <w:r>
        <w:t xml:space="preserve"> ikamusume酱</w:t>
      </w:r>
      <w:r>
        <w:rPr>
          <w:rFonts w:hint="eastAsia"/>
        </w:rPr>
        <w:t>：《</w:t>
      </w:r>
      <w:r>
        <w:t>22娘关于弹幕礼仪的总结性讲演</w:t>
      </w:r>
      <w:r>
        <w:rPr>
          <w:rFonts w:hint="eastAsia"/>
        </w:rPr>
        <w:t>》，2</w:t>
      </w:r>
      <w:r>
        <w:t>013-08-15</w:t>
      </w:r>
      <w:r>
        <w:rPr>
          <w:rFonts w:hint="eastAsia"/>
        </w:rPr>
        <w:t>，</w:t>
      </w:r>
      <w:r>
        <w:t>https://www.bilibili.com/video/BV1hs411f7zJ</w:t>
      </w:r>
      <w:r>
        <w:rPr>
          <w:rFonts w:hint="eastAsia"/>
        </w:rPr>
        <w:t>，2</w:t>
      </w:r>
      <w:r>
        <w:t>023</w:t>
      </w:r>
      <w:r>
        <w:rPr>
          <w:rFonts w:hint="eastAsia"/>
        </w:rPr>
        <w:t>-</w:t>
      </w:r>
      <w:r>
        <w:t>12</w:t>
      </w:r>
      <w:r>
        <w:rPr>
          <w:rFonts w:hint="eastAsia"/>
        </w:rPr>
        <w:t>-0</w:t>
      </w:r>
      <w:r>
        <w:t>8</w:t>
      </w:r>
      <w:r>
        <w:rPr>
          <w:rFonts w:hint="eastAsia"/>
        </w:rPr>
        <w:t>。</w:t>
      </w:r>
    </w:p>
  </w:footnote>
  <w:footnote w:id="17">
    <w:p w14:paraId="6E29E5FE" w14:textId="77777777" w:rsidR="00B95B11" w:rsidRDefault="00000000">
      <w:pPr>
        <w:pStyle w:val="ab"/>
        <w:ind w:firstLine="420"/>
        <w:rPr>
          <w:rFonts w:hint="eastAsia"/>
        </w:rPr>
      </w:pPr>
      <w:r>
        <w:rPr>
          <w:rStyle w:val="af1"/>
        </w:rPr>
        <w:footnoteRef/>
      </w:r>
      <w:r>
        <w:t xml:space="preserve"> </w:t>
      </w:r>
      <w:r>
        <w:rPr>
          <w:rFonts w:hint="eastAsia"/>
        </w:rPr>
        <w:t>夜间不起雨：《【科普向】B站</w:t>
      </w:r>
      <w:r>
        <w:t>弹幕礼仪指南</w:t>
      </w:r>
      <w:r>
        <w:rPr>
          <w:rFonts w:hint="eastAsia"/>
        </w:rPr>
        <w:t>》，2</w:t>
      </w:r>
      <w:r>
        <w:t>020-03-29</w:t>
      </w:r>
      <w:r>
        <w:rPr>
          <w:rFonts w:hint="eastAsia"/>
        </w:rPr>
        <w:t>，</w:t>
      </w:r>
      <w:r>
        <w:t>https://www.bilibili.com/video/BV1YZ4y1j7Qv</w:t>
      </w:r>
      <w:r>
        <w:rPr>
          <w:rFonts w:hint="eastAsia"/>
        </w:rPr>
        <w:t>，2</w:t>
      </w:r>
      <w:r>
        <w:t>023</w:t>
      </w:r>
      <w:r>
        <w:rPr>
          <w:rFonts w:hint="eastAsia"/>
        </w:rPr>
        <w:t>-0</w:t>
      </w:r>
      <w:r>
        <w:t>5</w:t>
      </w:r>
      <w:r>
        <w:rPr>
          <w:rFonts w:hint="eastAsia"/>
        </w:rPr>
        <w:t>-</w:t>
      </w:r>
      <w:r>
        <w:t>21</w:t>
      </w:r>
      <w:r>
        <w:rPr>
          <w:rFonts w:hint="eastAsia"/>
        </w:rPr>
        <w:t>。</w:t>
      </w:r>
    </w:p>
  </w:footnote>
  <w:footnote w:id="18">
    <w:p w14:paraId="586944EC" w14:textId="77777777" w:rsidR="00B95B11" w:rsidRDefault="00000000">
      <w:pPr>
        <w:pStyle w:val="ab"/>
        <w:ind w:firstLine="420"/>
        <w:rPr>
          <w:rFonts w:ascii="Times New Roman" w:hAnsi="Times New Roman" w:cs="Times New Roman"/>
        </w:rPr>
      </w:pPr>
      <w:r>
        <w:rPr>
          <w:rStyle w:val="af1"/>
        </w:rPr>
        <w:footnoteRef/>
      </w:r>
      <w:r>
        <w:t xml:space="preserve"> </w:t>
      </w:r>
      <w:r>
        <w:rPr>
          <w:rStyle w:val="fontstyle01"/>
          <w:rFonts w:ascii="Times New Roman" w:hAnsi="Times New Roman" w:cs="Times New Roman" w:hint="default"/>
          <w:color w:val="auto"/>
          <w:sz w:val="18"/>
          <w:szCs w:val="18"/>
        </w:rPr>
        <w:t>Neil Gunningham, Robert Kagan &amp; Dorothy Thornton,</w:t>
      </w:r>
      <w:r>
        <w:rPr>
          <w:rStyle w:val="fontstyle01"/>
          <w:rFonts w:ascii="Times New Roman" w:hAnsi="Times New Roman" w:cs="Times New Roman" w:hint="default"/>
          <w:i/>
          <w:color w:val="auto"/>
          <w:sz w:val="18"/>
          <w:szCs w:val="18"/>
        </w:rPr>
        <w:t xml:space="preserve"> “</w:t>
      </w:r>
      <w:r>
        <w:rPr>
          <w:rStyle w:val="fontstyle01"/>
          <w:rFonts w:ascii="Times New Roman" w:hAnsi="Times New Roman" w:cs="Times New Roman" w:hint="default"/>
          <w:color w:val="auto"/>
          <w:sz w:val="18"/>
          <w:szCs w:val="18"/>
        </w:rPr>
        <w:t xml:space="preserve">Social License and Environmental Protection: Why Businesses Go Beyond Compliance”, </w:t>
      </w:r>
      <w:r>
        <w:rPr>
          <w:rStyle w:val="fontstyle01"/>
          <w:rFonts w:ascii="Times New Roman" w:hAnsi="Times New Roman" w:cs="Times New Roman" w:hint="default"/>
          <w:i/>
          <w:color w:val="auto"/>
          <w:sz w:val="18"/>
          <w:szCs w:val="18"/>
        </w:rPr>
        <w:t>Law &amp; Social Inquiry</w:t>
      </w:r>
      <w:r>
        <w:rPr>
          <w:rStyle w:val="fontstyle01"/>
          <w:rFonts w:ascii="Times New Roman" w:hAnsi="Times New Roman" w:cs="Times New Roman" w:hint="default"/>
          <w:color w:val="auto"/>
          <w:sz w:val="18"/>
          <w:szCs w:val="18"/>
        </w:rPr>
        <w:t>, 2006,29(2),pp.307-341.</w:t>
      </w:r>
    </w:p>
  </w:footnote>
  <w:footnote w:id="19">
    <w:p w14:paraId="5985F11E" w14:textId="77777777" w:rsidR="00B95B11" w:rsidRDefault="00000000">
      <w:pPr>
        <w:pStyle w:val="ab"/>
        <w:ind w:firstLine="420"/>
        <w:rPr>
          <w:rFonts w:ascii="Times New Roman" w:hAnsi="Times New Roman" w:cs="Times New Roman"/>
        </w:rPr>
      </w:pPr>
      <w:r>
        <w:rPr>
          <w:rStyle w:val="af1"/>
        </w:rPr>
        <w:footnoteRef/>
      </w:r>
      <w:r>
        <w:t xml:space="preserve"> </w:t>
      </w:r>
      <w:r>
        <w:rPr>
          <w:rStyle w:val="fontstyle01"/>
          <w:rFonts w:ascii="Times New Roman" w:hAnsi="Times New Roman" w:cs="Times New Roman" w:hint="default"/>
          <w:color w:val="auto"/>
          <w:sz w:val="18"/>
          <w:szCs w:val="18"/>
        </w:rPr>
        <w:t>Neil Gunningham, Robert Kagan &amp; Dorothy Thornton,</w:t>
      </w:r>
      <w:r>
        <w:rPr>
          <w:rStyle w:val="fontstyle01"/>
          <w:rFonts w:ascii="Times New Roman" w:hAnsi="Times New Roman" w:cs="Times New Roman" w:hint="default"/>
          <w:i/>
          <w:color w:val="auto"/>
          <w:sz w:val="18"/>
          <w:szCs w:val="18"/>
        </w:rPr>
        <w:t xml:space="preserve"> “</w:t>
      </w:r>
      <w:r>
        <w:rPr>
          <w:rStyle w:val="fontstyle01"/>
          <w:rFonts w:ascii="Times New Roman" w:hAnsi="Times New Roman" w:cs="Times New Roman" w:hint="default"/>
          <w:color w:val="auto"/>
          <w:sz w:val="18"/>
          <w:szCs w:val="18"/>
        </w:rPr>
        <w:t xml:space="preserve">Social License and Environmental Protection: Why Businesses Go Beyond Compliance”, </w:t>
      </w:r>
      <w:r>
        <w:rPr>
          <w:rStyle w:val="fontstyle01"/>
          <w:rFonts w:ascii="Times New Roman" w:hAnsi="Times New Roman" w:cs="Times New Roman" w:hint="default"/>
          <w:i/>
          <w:color w:val="auto"/>
          <w:sz w:val="18"/>
          <w:szCs w:val="18"/>
        </w:rPr>
        <w:t>Law &amp; Social Inquiry</w:t>
      </w:r>
      <w:r>
        <w:rPr>
          <w:rStyle w:val="fontstyle01"/>
          <w:rFonts w:ascii="Times New Roman" w:hAnsi="Times New Roman" w:cs="Times New Roman" w:hint="default"/>
          <w:color w:val="auto"/>
          <w:sz w:val="18"/>
          <w:szCs w:val="18"/>
        </w:rPr>
        <w:t>, 2006,29(2),pp.307-341.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52E3B"/>
    <w:multiLevelType w:val="multilevel"/>
    <w:tmpl w:val="2C852E3B"/>
    <w:lvl w:ilvl="0">
      <w:start w:val="1"/>
      <w:numFmt w:val="japaneseCounting"/>
      <w:lvlText w:val="%1、"/>
      <w:lvlJc w:val="left"/>
      <w:pPr>
        <w:ind w:left="866" w:hanging="720"/>
      </w:pPr>
      <w:rPr>
        <w:rFonts w:hint="default"/>
      </w:rPr>
    </w:lvl>
    <w:lvl w:ilvl="1">
      <w:start w:val="1"/>
      <w:numFmt w:val="lowerLetter"/>
      <w:lvlText w:val="%2)"/>
      <w:lvlJc w:val="left"/>
      <w:pPr>
        <w:ind w:left="986" w:hanging="420"/>
      </w:pPr>
    </w:lvl>
    <w:lvl w:ilvl="2">
      <w:start w:val="1"/>
      <w:numFmt w:val="lowerRoman"/>
      <w:lvlText w:val="%3."/>
      <w:lvlJc w:val="right"/>
      <w:pPr>
        <w:ind w:left="1406" w:hanging="420"/>
      </w:pPr>
    </w:lvl>
    <w:lvl w:ilvl="3">
      <w:start w:val="1"/>
      <w:numFmt w:val="decimal"/>
      <w:lvlText w:val="%4."/>
      <w:lvlJc w:val="left"/>
      <w:pPr>
        <w:ind w:left="1826" w:hanging="420"/>
      </w:pPr>
    </w:lvl>
    <w:lvl w:ilvl="4">
      <w:start w:val="1"/>
      <w:numFmt w:val="lowerLetter"/>
      <w:lvlText w:val="%5)"/>
      <w:lvlJc w:val="left"/>
      <w:pPr>
        <w:ind w:left="2246" w:hanging="420"/>
      </w:pPr>
    </w:lvl>
    <w:lvl w:ilvl="5">
      <w:start w:val="1"/>
      <w:numFmt w:val="lowerRoman"/>
      <w:lvlText w:val="%6."/>
      <w:lvlJc w:val="right"/>
      <w:pPr>
        <w:ind w:left="2666" w:hanging="420"/>
      </w:pPr>
    </w:lvl>
    <w:lvl w:ilvl="6">
      <w:start w:val="1"/>
      <w:numFmt w:val="decimal"/>
      <w:lvlText w:val="%7."/>
      <w:lvlJc w:val="left"/>
      <w:pPr>
        <w:ind w:left="3086" w:hanging="420"/>
      </w:pPr>
    </w:lvl>
    <w:lvl w:ilvl="7">
      <w:start w:val="1"/>
      <w:numFmt w:val="lowerLetter"/>
      <w:lvlText w:val="%8)"/>
      <w:lvlJc w:val="left"/>
      <w:pPr>
        <w:ind w:left="3506" w:hanging="420"/>
      </w:pPr>
    </w:lvl>
    <w:lvl w:ilvl="8">
      <w:start w:val="1"/>
      <w:numFmt w:val="lowerRoman"/>
      <w:lvlText w:val="%9."/>
      <w:lvlJc w:val="right"/>
      <w:pPr>
        <w:ind w:left="3926" w:hanging="420"/>
      </w:pPr>
    </w:lvl>
  </w:abstractNum>
  <w:num w:numId="1" w16cid:durableId="2123764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217"/>
  <w:drawingGridVerticalSpacing w:val="166"/>
  <w:displayHorizontalDrawingGridEvery w:val="0"/>
  <w:displayVerticalDrawingGridEvery w:val="2"/>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RmOTFmYTgzOGEyNzE5ODcwYzMyZThmMTlmNjI0YTMifQ=="/>
  </w:docVars>
  <w:rsids>
    <w:rsidRoot w:val="00517836"/>
    <w:rsid w:val="00000391"/>
    <w:rsid w:val="00000DB4"/>
    <w:rsid w:val="00002CDD"/>
    <w:rsid w:val="00011FF2"/>
    <w:rsid w:val="000144EF"/>
    <w:rsid w:val="000202BC"/>
    <w:rsid w:val="00022627"/>
    <w:rsid w:val="000233CC"/>
    <w:rsid w:val="00023D0F"/>
    <w:rsid w:val="00023F18"/>
    <w:rsid w:val="00024BB3"/>
    <w:rsid w:val="0002676F"/>
    <w:rsid w:val="00027589"/>
    <w:rsid w:val="00030E6A"/>
    <w:rsid w:val="0003166E"/>
    <w:rsid w:val="00031BEE"/>
    <w:rsid w:val="00031FDF"/>
    <w:rsid w:val="00032301"/>
    <w:rsid w:val="00032E3C"/>
    <w:rsid w:val="00034834"/>
    <w:rsid w:val="0003643A"/>
    <w:rsid w:val="00041197"/>
    <w:rsid w:val="000419CF"/>
    <w:rsid w:val="00042DAF"/>
    <w:rsid w:val="0004438D"/>
    <w:rsid w:val="00045C31"/>
    <w:rsid w:val="0004620A"/>
    <w:rsid w:val="00046E0D"/>
    <w:rsid w:val="00047C9E"/>
    <w:rsid w:val="00047EC9"/>
    <w:rsid w:val="000501B5"/>
    <w:rsid w:val="000526C6"/>
    <w:rsid w:val="00053061"/>
    <w:rsid w:val="000542D5"/>
    <w:rsid w:val="000560C4"/>
    <w:rsid w:val="000604B2"/>
    <w:rsid w:val="000625DC"/>
    <w:rsid w:val="00062D8C"/>
    <w:rsid w:val="00065CE3"/>
    <w:rsid w:val="00067D29"/>
    <w:rsid w:val="0007068C"/>
    <w:rsid w:val="00072633"/>
    <w:rsid w:val="000765C3"/>
    <w:rsid w:val="00077D42"/>
    <w:rsid w:val="000874F6"/>
    <w:rsid w:val="0009102B"/>
    <w:rsid w:val="000923D5"/>
    <w:rsid w:val="000958E8"/>
    <w:rsid w:val="000979CA"/>
    <w:rsid w:val="000A122B"/>
    <w:rsid w:val="000A308F"/>
    <w:rsid w:val="000A326D"/>
    <w:rsid w:val="000A43CD"/>
    <w:rsid w:val="000A522D"/>
    <w:rsid w:val="000A7923"/>
    <w:rsid w:val="000B1A1B"/>
    <w:rsid w:val="000B22F7"/>
    <w:rsid w:val="000B2E10"/>
    <w:rsid w:val="000B4692"/>
    <w:rsid w:val="000B564F"/>
    <w:rsid w:val="000C07B3"/>
    <w:rsid w:val="000C328A"/>
    <w:rsid w:val="000C79D4"/>
    <w:rsid w:val="000C7C9C"/>
    <w:rsid w:val="000D202F"/>
    <w:rsid w:val="000D6014"/>
    <w:rsid w:val="000D6C23"/>
    <w:rsid w:val="000D7028"/>
    <w:rsid w:val="000D7923"/>
    <w:rsid w:val="000E0C56"/>
    <w:rsid w:val="000E1A93"/>
    <w:rsid w:val="000E68DC"/>
    <w:rsid w:val="000F10E9"/>
    <w:rsid w:val="000F1BD0"/>
    <w:rsid w:val="000F3C89"/>
    <w:rsid w:val="000F528A"/>
    <w:rsid w:val="000F7864"/>
    <w:rsid w:val="000F7BA7"/>
    <w:rsid w:val="00100939"/>
    <w:rsid w:val="00102D97"/>
    <w:rsid w:val="00103320"/>
    <w:rsid w:val="00103500"/>
    <w:rsid w:val="00103FEE"/>
    <w:rsid w:val="001050A1"/>
    <w:rsid w:val="00106374"/>
    <w:rsid w:val="0010788F"/>
    <w:rsid w:val="0011304B"/>
    <w:rsid w:val="0011419F"/>
    <w:rsid w:val="00115592"/>
    <w:rsid w:val="0011737B"/>
    <w:rsid w:val="001200A9"/>
    <w:rsid w:val="00120EF1"/>
    <w:rsid w:val="0012376E"/>
    <w:rsid w:val="00123C4F"/>
    <w:rsid w:val="00125C20"/>
    <w:rsid w:val="001266BF"/>
    <w:rsid w:val="0012695C"/>
    <w:rsid w:val="00130D03"/>
    <w:rsid w:val="0013155D"/>
    <w:rsid w:val="00131B35"/>
    <w:rsid w:val="00132C10"/>
    <w:rsid w:val="00134C20"/>
    <w:rsid w:val="00135E98"/>
    <w:rsid w:val="00141ED6"/>
    <w:rsid w:val="0014406D"/>
    <w:rsid w:val="0014611C"/>
    <w:rsid w:val="00146DEF"/>
    <w:rsid w:val="0014795A"/>
    <w:rsid w:val="00151E7A"/>
    <w:rsid w:val="00154269"/>
    <w:rsid w:val="00154388"/>
    <w:rsid w:val="001555C6"/>
    <w:rsid w:val="00155660"/>
    <w:rsid w:val="00155DE7"/>
    <w:rsid w:val="001561D8"/>
    <w:rsid w:val="00156924"/>
    <w:rsid w:val="001627BA"/>
    <w:rsid w:val="001634AA"/>
    <w:rsid w:val="00166C58"/>
    <w:rsid w:val="00172532"/>
    <w:rsid w:val="00172CC7"/>
    <w:rsid w:val="00173973"/>
    <w:rsid w:val="00175655"/>
    <w:rsid w:val="001765CD"/>
    <w:rsid w:val="00184ABB"/>
    <w:rsid w:val="001907F4"/>
    <w:rsid w:val="0019106D"/>
    <w:rsid w:val="001929CC"/>
    <w:rsid w:val="00192B59"/>
    <w:rsid w:val="00196328"/>
    <w:rsid w:val="001A0B88"/>
    <w:rsid w:val="001A1411"/>
    <w:rsid w:val="001A2C34"/>
    <w:rsid w:val="001A5971"/>
    <w:rsid w:val="001A64EC"/>
    <w:rsid w:val="001A6888"/>
    <w:rsid w:val="001B01EA"/>
    <w:rsid w:val="001B033D"/>
    <w:rsid w:val="001B45FF"/>
    <w:rsid w:val="001B507E"/>
    <w:rsid w:val="001B6223"/>
    <w:rsid w:val="001B66E5"/>
    <w:rsid w:val="001B7DDB"/>
    <w:rsid w:val="001C2A60"/>
    <w:rsid w:val="001C4A95"/>
    <w:rsid w:val="001C7B8F"/>
    <w:rsid w:val="001D0778"/>
    <w:rsid w:val="001D3007"/>
    <w:rsid w:val="001D3723"/>
    <w:rsid w:val="001D5DEA"/>
    <w:rsid w:val="001D5F89"/>
    <w:rsid w:val="001E07CD"/>
    <w:rsid w:val="001E14BC"/>
    <w:rsid w:val="001E2344"/>
    <w:rsid w:val="001E44D8"/>
    <w:rsid w:val="001E680F"/>
    <w:rsid w:val="001E7006"/>
    <w:rsid w:val="001F14C1"/>
    <w:rsid w:val="001F20B0"/>
    <w:rsid w:val="001F242D"/>
    <w:rsid w:val="001F5101"/>
    <w:rsid w:val="001F5DE7"/>
    <w:rsid w:val="001F61EC"/>
    <w:rsid w:val="001F6DE2"/>
    <w:rsid w:val="002003D7"/>
    <w:rsid w:val="00204488"/>
    <w:rsid w:val="002056DC"/>
    <w:rsid w:val="0020675F"/>
    <w:rsid w:val="00206C0F"/>
    <w:rsid w:val="00210035"/>
    <w:rsid w:val="00212821"/>
    <w:rsid w:val="0021303B"/>
    <w:rsid w:val="002142B9"/>
    <w:rsid w:val="002148C6"/>
    <w:rsid w:val="00215C39"/>
    <w:rsid w:val="0021761B"/>
    <w:rsid w:val="002234C5"/>
    <w:rsid w:val="00223F87"/>
    <w:rsid w:val="00225237"/>
    <w:rsid w:val="00226186"/>
    <w:rsid w:val="0022737D"/>
    <w:rsid w:val="0023102F"/>
    <w:rsid w:val="00234CB3"/>
    <w:rsid w:val="00235071"/>
    <w:rsid w:val="00236C83"/>
    <w:rsid w:val="00241A0C"/>
    <w:rsid w:val="00241C81"/>
    <w:rsid w:val="002420AA"/>
    <w:rsid w:val="002454B0"/>
    <w:rsid w:val="00245C74"/>
    <w:rsid w:val="002504D2"/>
    <w:rsid w:val="002515F8"/>
    <w:rsid w:val="002524B9"/>
    <w:rsid w:val="00252DA4"/>
    <w:rsid w:val="00255EDE"/>
    <w:rsid w:val="0026184B"/>
    <w:rsid w:val="00261F3D"/>
    <w:rsid w:val="00263D08"/>
    <w:rsid w:val="00267A0C"/>
    <w:rsid w:val="002702D7"/>
    <w:rsid w:val="002737BA"/>
    <w:rsid w:val="0027390D"/>
    <w:rsid w:val="00275AA9"/>
    <w:rsid w:val="0027751B"/>
    <w:rsid w:val="00277755"/>
    <w:rsid w:val="00280D5B"/>
    <w:rsid w:val="00283545"/>
    <w:rsid w:val="00284320"/>
    <w:rsid w:val="0028606B"/>
    <w:rsid w:val="002874AF"/>
    <w:rsid w:val="00290FFA"/>
    <w:rsid w:val="0029467B"/>
    <w:rsid w:val="002974E2"/>
    <w:rsid w:val="00297B38"/>
    <w:rsid w:val="00297CD4"/>
    <w:rsid w:val="002A47F9"/>
    <w:rsid w:val="002A6368"/>
    <w:rsid w:val="002B1A4E"/>
    <w:rsid w:val="002B57E6"/>
    <w:rsid w:val="002B6EE0"/>
    <w:rsid w:val="002B7FF6"/>
    <w:rsid w:val="002C1F6F"/>
    <w:rsid w:val="002C2290"/>
    <w:rsid w:val="002C3886"/>
    <w:rsid w:val="002C3E0D"/>
    <w:rsid w:val="002C3E7B"/>
    <w:rsid w:val="002C4658"/>
    <w:rsid w:val="002C5262"/>
    <w:rsid w:val="002C55E3"/>
    <w:rsid w:val="002C7A0C"/>
    <w:rsid w:val="002D008F"/>
    <w:rsid w:val="002D0123"/>
    <w:rsid w:val="002D1A01"/>
    <w:rsid w:val="002D2308"/>
    <w:rsid w:val="002D27A6"/>
    <w:rsid w:val="002D31FE"/>
    <w:rsid w:val="002D65EF"/>
    <w:rsid w:val="002D691E"/>
    <w:rsid w:val="002D7162"/>
    <w:rsid w:val="002D7EAA"/>
    <w:rsid w:val="002E2107"/>
    <w:rsid w:val="002E25EF"/>
    <w:rsid w:val="002E518A"/>
    <w:rsid w:val="002E5BDF"/>
    <w:rsid w:val="002E632D"/>
    <w:rsid w:val="002F04C1"/>
    <w:rsid w:val="002F06A1"/>
    <w:rsid w:val="002F4434"/>
    <w:rsid w:val="002F6432"/>
    <w:rsid w:val="002F7911"/>
    <w:rsid w:val="003003E4"/>
    <w:rsid w:val="0030571A"/>
    <w:rsid w:val="00305996"/>
    <w:rsid w:val="00305CD4"/>
    <w:rsid w:val="0031080B"/>
    <w:rsid w:val="00311B68"/>
    <w:rsid w:val="003162ED"/>
    <w:rsid w:val="003172FC"/>
    <w:rsid w:val="00325751"/>
    <w:rsid w:val="00325A6C"/>
    <w:rsid w:val="0032628B"/>
    <w:rsid w:val="00327E45"/>
    <w:rsid w:val="003303BB"/>
    <w:rsid w:val="00331155"/>
    <w:rsid w:val="00334848"/>
    <w:rsid w:val="00334A0A"/>
    <w:rsid w:val="00334E2C"/>
    <w:rsid w:val="00337E2B"/>
    <w:rsid w:val="003538B9"/>
    <w:rsid w:val="00355E8E"/>
    <w:rsid w:val="0036073A"/>
    <w:rsid w:val="00361610"/>
    <w:rsid w:val="003618FB"/>
    <w:rsid w:val="00361A57"/>
    <w:rsid w:val="00361B89"/>
    <w:rsid w:val="00365DED"/>
    <w:rsid w:val="00366D8D"/>
    <w:rsid w:val="003711F2"/>
    <w:rsid w:val="00371AD0"/>
    <w:rsid w:val="0037246B"/>
    <w:rsid w:val="0037314E"/>
    <w:rsid w:val="003735C6"/>
    <w:rsid w:val="00374BAD"/>
    <w:rsid w:val="003758DE"/>
    <w:rsid w:val="00377939"/>
    <w:rsid w:val="003805CC"/>
    <w:rsid w:val="00381DF8"/>
    <w:rsid w:val="0038535D"/>
    <w:rsid w:val="0038574F"/>
    <w:rsid w:val="00385F6C"/>
    <w:rsid w:val="00386B06"/>
    <w:rsid w:val="00386D6E"/>
    <w:rsid w:val="00387EFD"/>
    <w:rsid w:val="00391390"/>
    <w:rsid w:val="00392202"/>
    <w:rsid w:val="0039551A"/>
    <w:rsid w:val="003A1D32"/>
    <w:rsid w:val="003A283F"/>
    <w:rsid w:val="003A328E"/>
    <w:rsid w:val="003A50A2"/>
    <w:rsid w:val="003A7C53"/>
    <w:rsid w:val="003B1D12"/>
    <w:rsid w:val="003B1D3D"/>
    <w:rsid w:val="003B3197"/>
    <w:rsid w:val="003B3B55"/>
    <w:rsid w:val="003B53BD"/>
    <w:rsid w:val="003C165B"/>
    <w:rsid w:val="003C1F21"/>
    <w:rsid w:val="003C241B"/>
    <w:rsid w:val="003C4D84"/>
    <w:rsid w:val="003C7F40"/>
    <w:rsid w:val="003D07FC"/>
    <w:rsid w:val="003D57C5"/>
    <w:rsid w:val="003D586B"/>
    <w:rsid w:val="003D79CD"/>
    <w:rsid w:val="003E0CC3"/>
    <w:rsid w:val="003E2FF2"/>
    <w:rsid w:val="003E3ACD"/>
    <w:rsid w:val="003E6A60"/>
    <w:rsid w:val="003E73FA"/>
    <w:rsid w:val="003F1B6B"/>
    <w:rsid w:val="003F30AE"/>
    <w:rsid w:val="003F4454"/>
    <w:rsid w:val="003F52D4"/>
    <w:rsid w:val="0040635E"/>
    <w:rsid w:val="004079B7"/>
    <w:rsid w:val="004104AA"/>
    <w:rsid w:val="00412E13"/>
    <w:rsid w:val="00413649"/>
    <w:rsid w:val="00415A31"/>
    <w:rsid w:val="00416477"/>
    <w:rsid w:val="004165B7"/>
    <w:rsid w:val="00421CCE"/>
    <w:rsid w:val="0042387E"/>
    <w:rsid w:val="004240BD"/>
    <w:rsid w:val="00424A37"/>
    <w:rsid w:val="00425654"/>
    <w:rsid w:val="00425B30"/>
    <w:rsid w:val="00426F15"/>
    <w:rsid w:val="004274FE"/>
    <w:rsid w:val="00430ABD"/>
    <w:rsid w:val="00430E8C"/>
    <w:rsid w:val="00431366"/>
    <w:rsid w:val="00432ACB"/>
    <w:rsid w:val="0043338B"/>
    <w:rsid w:val="00436265"/>
    <w:rsid w:val="004368C2"/>
    <w:rsid w:val="00437FB2"/>
    <w:rsid w:val="00440BCF"/>
    <w:rsid w:val="00441DA5"/>
    <w:rsid w:val="0044279C"/>
    <w:rsid w:val="00442A70"/>
    <w:rsid w:val="0044321A"/>
    <w:rsid w:val="00444250"/>
    <w:rsid w:val="0044663D"/>
    <w:rsid w:val="00450944"/>
    <w:rsid w:val="00450F22"/>
    <w:rsid w:val="00451701"/>
    <w:rsid w:val="00452B66"/>
    <w:rsid w:val="004532F6"/>
    <w:rsid w:val="0045343E"/>
    <w:rsid w:val="00456C24"/>
    <w:rsid w:val="00456FA9"/>
    <w:rsid w:val="00457400"/>
    <w:rsid w:val="00462D6C"/>
    <w:rsid w:val="00463EEC"/>
    <w:rsid w:val="00463FB4"/>
    <w:rsid w:val="0046512A"/>
    <w:rsid w:val="0046607D"/>
    <w:rsid w:val="00466377"/>
    <w:rsid w:val="00475348"/>
    <w:rsid w:val="00475952"/>
    <w:rsid w:val="00476187"/>
    <w:rsid w:val="004775E5"/>
    <w:rsid w:val="004808C2"/>
    <w:rsid w:val="00480F58"/>
    <w:rsid w:val="00483436"/>
    <w:rsid w:val="00486371"/>
    <w:rsid w:val="00486BFA"/>
    <w:rsid w:val="004914C3"/>
    <w:rsid w:val="00493304"/>
    <w:rsid w:val="00493C37"/>
    <w:rsid w:val="00494A9F"/>
    <w:rsid w:val="00495996"/>
    <w:rsid w:val="00497182"/>
    <w:rsid w:val="004972BD"/>
    <w:rsid w:val="004A0196"/>
    <w:rsid w:val="004A0978"/>
    <w:rsid w:val="004A6F71"/>
    <w:rsid w:val="004B0227"/>
    <w:rsid w:val="004C1B76"/>
    <w:rsid w:val="004C2671"/>
    <w:rsid w:val="004C363D"/>
    <w:rsid w:val="004C3DBC"/>
    <w:rsid w:val="004C51D5"/>
    <w:rsid w:val="004C5638"/>
    <w:rsid w:val="004C6F46"/>
    <w:rsid w:val="004D173E"/>
    <w:rsid w:val="004D3D28"/>
    <w:rsid w:val="004D548C"/>
    <w:rsid w:val="004D6CA3"/>
    <w:rsid w:val="004D7B76"/>
    <w:rsid w:val="004D7E45"/>
    <w:rsid w:val="004E1707"/>
    <w:rsid w:val="004E391B"/>
    <w:rsid w:val="004E4307"/>
    <w:rsid w:val="004E5C1F"/>
    <w:rsid w:val="004E651B"/>
    <w:rsid w:val="004E6DCB"/>
    <w:rsid w:val="004E7BB6"/>
    <w:rsid w:val="004F069C"/>
    <w:rsid w:val="004F0942"/>
    <w:rsid w:val="004F2AAB"/>
    <w:rsid w:val="004F5D2E"/>
    <w:rsid w:val="004F5D50"/>
    <w:rsid w:val="004F675A"/>
    <w:rsid w:val="004F7502"/>
    <w:rsid w:val="00500983"/>
    <w:rsid w:val="00500D08"/>
    <w:rsid w:val="00501A15"/>
    <w:rsid w:val="0050453B"/>
    <w:rsid w:val="00512E0D"/>
    <w:rsid w:val="0051300A"/>
    <w:rsid w:val="00513CC7"/>
    <w:rsid w:val="00513F21"/>
    <w:rsid w:val="005144E4"/>
    <w:rsid w:val="00517836"/>
    <w:rsid w:val="005178F3"/>
    <w:rsid w:val="005216A0"/>
    <w:rsid w:val="00522B11"/>
    <w:rsid w:val="005264A9"/>
    <w:rsid w:val="005319E9"/>
    <w:rsid w:val="0053235E"/>
    <w:rsid w:val="00533F13"/>
    <w:rsid w:val="005341A8"/>
    <w:rsid w:val="00534894"/>
    <w:rsid w:val="00535792"/>
    <w:rsid w:val="005429CC"/>
    <w:rsid w:val="00542C4C"/>
    <w:rsid w:val="0054454D"/>
    <w:rsid w:val="00544EB5"/>
    <w:rsid w:val="00545847"/>
    <w:rsid w:val="00546802"/>
    <w:rsid w:val="0055179E"/>
    <w:rsid w:val="0055368B"/>
    <w:rsid w:val="005562FB"/>
    <w:rsid w:val="00562842"/>
    <w:rsid w:val="00562B5D"/>
    <w:rsid w:val="00564641"/>
    <w:rsid w:val="00564E23"/>
    <w:rsid w:val="005668A4"/>
    <w:rsid w:val="0056788C"/>
    <w:rsid w:val="005740DE"/>
    <w:rsid w:val="00574E0D"/>
    <w:rsid w:val="005779F0"/>
    <w:rsid w:val="005816FB"/>
    <w:rsid w:val="0058193C"/>
    <w:rsid w:val="00584E42"/>
    <w:rsid w:val="005860D5"/>
    <w:rsid w:val="00590581"/>
    <w:rsid w:val="00591F76"/>
    <w:rsid w:val="005941BD"/>
    <w:rsid w:val="00595A69"/>
    <w:rsid w:val="00596153"/>
    <w:rsid w:val="005A0606"/>
    <w:rsid w:val="005A166F"/>
    <w:rsid w:val="005A284C"/>
    <w:rsid w:val="005A34E3"/>
    <w:rsid w:val="005A3556"/>
    <w:rsid w:val="005A56E6"/>
    <w:rsid w:val="005A6319"/>
    <w:rsid w:val="005A66AC"/>
    <w:rsid w:val="005A7C60"/>
    <w:rsid w:val="005B0767"/>
    <w:rsid w:val="005B1AAB"/>
    <w:rsid w:val="005B3917"/>
    <w:rsid w:val="005B5A49"/>
    <w:rsid w:val="005C4CFD"/>
    <w:rsid w:val="005C5A36"/>
    <w:rsid w:val="005C64D4"/>
    <w:rsid w:val="005D06FA"/>
    <w:rsid w:val="005D32F4"/>
    <w:rsid w:val="005D36B6"/>
    <w:rsid w:val="005D614C"/>
    <w:rsid w:val="005D671F"/>
    <w:rsid w:val="005D6996"/>
    <w:rsid w:val="005D7C49"/>
    <w:rsid w:val="005E0CD9"/>
    <w:rsid w:val="005E2200"/>
    <w:rsid w:val="005E2D89"/>
    <w:rsid w:val="005E693F"/>
    <w:rsid w:val="005E6D9E"/>
    <w:rsid w:val="005F012B"/>
    <w:rsid w:val="005F0689"/>
    <w:rsid w:val="005F553F"/>
    <w:rsid w:val="005F6350"/>
    <w:rsid w:val="005F7AC3"/>
    <w:rsid w:val="006015C8"/>
    <w:rsid w:val="00601D80"/>
    <w:rsid w:val="006047DC"/>
    <w:rsid w:val="00605B33"/>
    <w:rsid w:val="00605CDE"/>
    <w:rsid w:val="00605DB3"/>
    <w:rsid w:val="00606106"/>
    <w:rsid w:val="006064DB"/>
    <w:rsid w:val="00606D79"/>
    <w:rsid w:val="006113A8"/>
    <w:rsid w:val="006125F0"/>
    <w:rsid w:val="0061260C"/>
    <w:rsid w:val="0061436D"/>
    <w:rsid w:val="00615B3F"/>
    <w:rsid w:val="00615D7F"/>
    <w:rsid w:val="00616D7C"/>
    <w:rsid w:val="00616DDE"/>
    <w:rsid w:val="00617266"/>
    <w:rsid w:val="00617B23"/>
    <w:rsid w:val="0062382B"/>
    <w:rsid w:val="0062597C"/>
    <w:rsid w:val="00625DE5"/>
    <w:rsid w:val="00627ECB"/>
    <w:rsid w:val="00634668"/>
    <w:rsid w:val="00634D67"/>
    <w:rsid w:val="00635872"/>
    <w:rsid w:val="006365D9"/>
    <w:rsid w:val="00636B45"/>
    <w:rsid w:val="00637814"/>
    <w:rsid w:val="00641995"/>
    <w:rsid w:val="006444A8"/>
    <w:rsid w:val="00647E72"/>
    <w:rsid w:val="00650205"/>
    <w:rsid w:val="00650F22"/>
    <w:rsid w:val="00652EED"/>
    <w:rsid w:val="0065713A"/>
    <w:rsid w:val="00661166"/>
    <w:rsid w:val="006617D4"/>
    <w:rsid w:val="00664544"/>
    <w:rsid w:val="0066467C"/>
    <w:rsid w:val="00665579"/>
    <w:rsid w:val="006675DF"/>
    <w:rsid w:val="00667613"/>
    <w:rsid w:val="006737A6"/>
    <w:rsid w:val="00674531"/>
    <w:rsid w:val="006766CA"/>
    <w:rsid w:val="00680837"/>
    <w:rsid w:val="0068188B"/>
    <w:rsid w:val="006865A1"/>
    <w:rsid w:val="0069033D"/>
    <w:rsid w:val="00690F33"/>
    <w:rsid w:val="006948B0"/>
    <w:rsid w:val="00695362"/>
    <w:rsid w:val="00697D06"/>
    <w:rsid w:val="006A222B"/>
    <w:rsid w:val="006A579C"/>
    <w:rsid w:val="006A58C9"/>
    <w:rsid w:val="006A67E1"/>
    <w:rsid w:val="006A74E0"/>
    <w:rsid w:val="006B0E79"/>
    <w:rsid w:val="006B0FAA"/>
    <w:rsid w:val="006B10CD"/>
    <w:rsid w:val="006B30F0"/>
    <w:rsid w:val="006B3A8D"/>
    <w:rsid w:val="006B4933"/>
    <w:rsid w:val="006B5048"/>
    <w:rsid w:val="006B68D6"/>
    <w:rsid w:val="006B7F1E"/>
    <w:rsid w:val="006C00DE"/>
    <w:rsid w:val="006C01A1"/>
    <w:rsid w:val="006C0B63"/>
    <w:rsid w:val="006C0BE0"/>
    <w:rsid w:val="006C114F"/>
    <w:rsid w:val="006C2319"/>
    <w:rsid w:val="006C41CD"/>
    <w:rsid w:val="006C58D2"/>
    <w:rsid w:val="006C6662"/>
    <w:rsid w:val="006C744D"/>
    <w:rsid w:val="006D064F"/>
    <w:rsid w:val="006D1A6F"/>
    <w:rsid w:val="006D279E"/>
    <w:rsid w:val="006E1718"/>
    <w:rsid w:val="006E31BF"/>
    <w:rsid w:val="006E36F9"/>
    <w:rsid w:val="006E3FE5"/>
    <w:rsid w:val="006E54F3"/>
    <w:rsid w:val="006E6242"/>
    <w:rsid w:val="006E630A"/>
    <w:rsid w:val="006E7C74"/>
    <w:rsid w:val="006F149B"/>
    <w:rsid w:val="006F210A"/>
    <w:rsid w:val="006F54BB"/>
    <w:rsid w:val="00703B4C"/>
    <w:rsid w:val="00704614"/>
    <w:rsid w:val="00705081"/>
    <w:rsid w:val="00705398"/>
    <w:rsid w:val="00710532"/>
    <w:rsid w:val="007138F7"/>
    <w:rsid w:val="00713B09"/>
    <w:rsid w:val="0071797F"/>
    <w:rsid w:val="00722342"/>
    <w:rsid w:val="00723C3D"/>
    <w:rsid w:val="00725445"/>
    <w:rsid w:val="00726160"/>
    <w:rsid w:val="00727363"/>
    <w:rsid w:val="0073364D"/>
    <w:rsid w:val="007342FA"/>
    <w:rsid w:val="0073612A"/>
    <w:rsid w:val="00736D6D"/>
    <w:rsid w:val="00740A47"/>
    <w:rsid w:val="0074106B"/>
    <w:rsid w:val="00744C3D"/>
    <w:rsid w:val="0075006A"/>
    <w:rsid w:val="00751A45"/>
    <w:rsid w:val="00752973"/>
    <w:rsid w:val="00754FCD"/>
    <w:rsid w:val="00756341"/>
    <w:rsid w:val="0075676F"/>
    <w:rsid w:val="00760B01"/>
    <w:rsid w:val="007617AB"/>
    <w:rsid w:val="00761DBE"/>
    <w:rsid w:val="00761E20"/>
    <w:rsid w:val="007633EB"/>
    <w:rsid w:val="007659F1"/>
    <w:rsid w:val="0076696D"/>
    <w:rsid w:val="00771D80"/>
    <w:rsid w:val="0077210D"/>
    <w:rsid w:val="007722AE"/>
    <w:rsid w:val="00772747"/>
    <w:rsid w:val="0077357B"/>
    <w:rsid w:val="00774C9A"/>
    <w:rsid w:val="00774D95"/>
    <w:rsid w:val="00776C4C"/>
    <w:rsid w:val="0077753E"/>
    <w:rsid w:val="00780087"/>
    <w:rsid w:val="00780371"/>
    <w:rsid w:val="00781AD0"/>
    <w:rsid w:val="00782E09"/>
    <w:rsid w:val="0078444E"/>
    <w:rsid w:val="007850F1"/>
    <w:rsid w:val="0078511E"/>
    <w:rsid w:val="00785BB5"/>
    <w:rsid w:val="007919E6"/>
    <w:rsid w:val="007941DF"/>
    <w:rsid w:val="0079692B"/>
    <w:rsid w:val="007A0AC5"/>
    <w:rsid w:val="007A3C79"/>
    <w:rsid w:val="007A3CCE"/>
    <w:rsid w:val="007A43F7"/>
    <w:rsid w:val="007B0A5D"/>
    <w:rsid w:val="007B16B2"/>
    <w:rsid w:val="007B2263"/>
    <w:rsid w:val="007B2A8B"/>
    <w:rsid w:val="007B388E"/>
    <w:rsid w:val="007B5BBB"/>
    <w:rsid w:val="007B7723"/>
    <w:rsid w:val="007C347F"/>
    <w:rsid w:val="007C3557"/>
    <w:rsid w:val="007C5859"/>
    <w:rsid w:val="007C68FF"/>
    <w:rsid w:val="007C745D"/>
    <w:rsid w:val="007C7B31"/>
    <w:rsid w:val="007D1553"/>
    <w:rsid w:val="007D1732"/>
    <w:rsid w:val="007D1E38"/>
    <w:rsid w:val="007D2C33"/>
    <w:rsid w:val="007D2F20"/>
    <w:rsid w:val="007D36D5"/>
    <w:rsid w:val="007D547D"/>
    <w:rsid w:val="007D709E"/>
    <w:rsid w:val="007D7864"/>
    <w:rsid w:val="007E15C1"/>
    <w:rsid w:val="007E28CB"/>
    <w:rsid w:val="007E2C51"/>
    <w:rsid w:val="007E42B4"/>
    <w:rsid w:val="007E44B1"/>
    <w:rsid w:val="007E713D"/>
    <w:rsid w:val="007F178E"/>
    <w:rsid w:val="007F207F"/>
    <w:rsid w:val="007F2882"/>
    <w:rsid w:val="007F46BE"/>
    <w:rsid w:val="007F4CC4"/>
    <w:rsid w:val="007F6984"/>
    <w:rsid w:val="007F75C6"/>
    <w:rsid w:val="00800560"/>
    <w:rsid w:val="0080165D"/>
    <w:rsid w:val="008018F7"/>
    <w:rsid w:val="00804D82"/>
    <w:rsid w:val="008056E6"/>
    <w:rsid w:val="00805E53"/>
    <w:rsid w:val="00807D00"/>
    <w:rsid w:val="0081212C"/>
    <w:rsid w:val="0081487C"/>
    <w:rsid w:val="00814E00"/>
    <w:rsid w:val="008172E3"/>
    <w:rsid w:val="00823972"/>
    <w:rsid w:val="008241E3"/>
    <w:rsid w:val="008268C8"/>
    <w:rsid w:val="008311E1"/>
    <w:rsid w:val="008339A2"/>
    <w:rsid w:val="008364D5"/>
    <w:rsid w:val="0083762E"/>
    <w:rsid w:val="00841449"/>
    <w:rsid w:val="008415D6"/>
    <w:rsid w:val="00841FE3"/>
    <w:rsid w:val="00843D91"/>
    <w:rsid w:val="0084411F"/>
    <w:rsid w:val="00844618"/>
    <w:rsid w:val="008449D6"/>
    <w:rsid w:val="00854DC6"/>
    <w:rsid w:val="00856F79"/>
    <w:rsid w:val="008575A7"/>
    <w:rsid w:val="00861461"/>
    <w:rsid w:val="00862715"/>
    <w:rsid w:val="00863246"/>
    <w:rsid w:val="00863BB0"/>
    <w:rsid w:val="0086680F"/>
    <w:rsid w:val="00866859"/>
    <w:rsid w:val="00867D45"/>
    <w:rsid w:val="0087139D"/>
    <w:rsid w:val="00871742"/>
    <w:rsid w:val="00872195"/>
    <w:rsid w:val="008723AF"/>
    <w:rsid w:val="0087466A"/>
    <w:rsid w:val="00875459"/>
    <w:rsid w:val="008757C9"/>
    <w:rsid w:val="008758B0"/>
    <w:rsid w:val="00875EE5"/>
    <w:rsid w:val="00877A72"/>
    <w:rsid w:val="00880B0E"/>
    <w:rsid w:val="0088175B"/>
    <w:rsid w:val="00882D2D"/>
    <w:rsid w:val="00883E33"/>
    <w:rsid w:val="00884D0F"/>
    <w:rsid w:val="00885237"/>
    <w:rsid w:val="00886E7B"/>
    <w:rsid w:val="00890D49"/>
    <w:rsid w:val="0089105B"/>
    <w:rsid w:val="008A038A"/>
    <w:rsid w:val="008A344A"/>
    <w:rsid w:val="008A348C"/>
    <w:rsid w:val="008A413C"/>
    <w:rsid w:val="008A7AEF"/>
    <w:rsid w:val="008A7B79"/>
    <w:rsid w:val="008B1B5A"/>
    <w:rsid w:val="008B380C"/>
    <w:rsid w:val="008B537C"/>
    <w:rsid w:val="008B555F"/>
    <w:rsid w:val="008C281E"/>
    <w:rsid w:val="008C4034"/>
    <w:rsid w:val="008C4184"/>
    <w:rsid w:val="008C4CF0"/>
    <w:rsid w:val="008C4D86"/>
    <w:rsid w:val="008C5534"/>
    <w:rsid w:val="008C5BA3"/>
    <w:rsid w:val="008C6929"/>
    <w:rsid w:val="008C6979"/>
    <w:rsid w:val="008C7241"/>
    <w:rsid w:val="008C7F8D"/>
    <w:rsid w:val="008D07C3"/>
    <w:rsid w:val="008D0D91"/>
    <w:rsid w:val="008D3C6A"/>
    <w:rsid w:val="008E1D1A"/>
    <w:rsid w:val="008E503F"/>
    <w:rsid w:val="008E5E86"/>
    <w:rsid w:val="008E7E1D"/>
    <w:rsid w:val="008F17A1"/>
    <w:rsid w:val="008F3535"/>
    <w:rsid w:val="008F60D1"/>
    <w:rsid w:val="008F7311"/>
    <w:rsid w:val="00900409"/>
    <w:rsid w:val="0090142C"/>
    <w:rsid w:val="00902525"/>
    <w:rsid w:val="009031AE"/>
    <w:rsid w:val="009044E7"/>
    <w:rsid w:val="009045F8"/>
    <w:rsid w:val="009076AA"/>
    <w:rsid w:val="00907D13"/>
    <w:rsid w:val="009128AF"/>
    <w:rsid w:val="00913065"/>
    <w:rsid w:val="00915902"/>
    <w:rsid w:val="009214D2"/>
    <w:rsid w:val="00923DD8"/>
    <w:rsid w:val="00932456"/>
    <w:rsid w:val="00932BC2"/>
    <w:rsid w:val="00934DD5"/>
    <w:rsid w:val="00934E05"/>
    <w:rsid w:val="00937886"/>
    <w:rsid w:val="00940451"/>
    <w:rsid w:val="00942372"/>
    <w:rsid w:val="00943DBB"/>
    <w:rsid w:val="00950EEE"/>
    <w:rsid w:val="00953CA1"/>
    <w:rsid w:val="00956EE9"/>
    <w:rsid w:val="00960136"/>
    <w:rsid w:val="009612D7"/>
    <w:rsid w:val="00963843"/>
    <w:rsid w:val="00963F69"/>
    <w:rsid w:val="00963F6E"/>
    <w:rsid w:val="00964962"/>
    <w:rsid w:val="00964F1A"/>
    <w:rsid w:val="00966BD5"/>
    <w:rsid w:val="00967F72"/>
    <w:rsid w:val="00971EF4"/>
    <w:rsid w:val="00971FCB"/>
    <w:rsid w:val="009733CD"/>
    <w:rsid w:val="00973D6D"/>
    <w:rsid w:val="00976627"/>
    <w:rsid w:val="00977D82"/>
    <w:rsid w:val="009801E5"/>
    <w:rsid w:val="00980D1A"/>
    <w:rsid w:val="00981786"/>
    <w:rsid w:val="009820F6"/>
    <w:rsid w:val="00994136"/>
    <w:rsid w:val="0099609F"/>
    <w:rsid w:val="00996741"/>
    <w:rsid w:val="009A0A40"/>
    <w:rsid w:val="009A0B53"/>
    <w:rsid w:val="009A1B35"/>
    <w:rsid w:val="009A234F"/>
    <w:rsid w:val="009A2E9B"/>
    <w:rsid w:val="009A594F"/>
    <w:rsid w:val="009B0099"/>
    <w:rsid w:val="009C0742"/>
    <w:rsid w:val="009C1332"/>
    <w:rsid w:val="009C13B2"/>
    <w:rsid w:val="009C1F1A"/>
    <w:rsid w:val="009C4E00"/>
    <w:rsid w:val="009C582F"/>
    <w:rsid w:val="009C619B"/>
    <w:rsid w:val="009C699E"/>
    <w:rsid w:val="009C70D6"/>
    <w:rsid w:val="009C723D"/>
    <w:rsid w:val="009D05C3"/>
    <w:rsid w:val="009D1005"/>
    <w:rsid w:val="009D22F8"/>
    <w:rsid w:val="009D2716"/>
    <w:rsid w:val="009D3977"/>
    <w:rsid w:val="009D7334"/>
    <w:rsid w:val="009D7368"/>
    <w:rsid w:val="009E02AE"/>
    <w:rsid w:val="009E2875"/>
    <w:rsid w:val="009E3891"/>
    <w:rsid w:val="009E478D"/>
    <w:rsid w:val="009E6158"/>
    <w:rsid w:val="009F02D8"/>
    <w:rsid w:val="009F0E9E"/>
    <w:rsid w:val="009F1E83"/>
    <w:rsid w:val="009F2111"/>
    <w:rsid w:val="009F32D3"/>
    <w:rsid w:val="009F38B1"/>
    <w:rsid w:val="009F77F8"/>
    <w:rsid w:val="00A00DD2"/>
    <w:rsid w:val="00A02078"/>
    <w:rsid w:val="00A02C7B"/>
    <w:rsid w:val="00A06E06"/>
    <w:rsid w:val="00A11490"/>
    <w:rsid w:val="00A1187D"/>
    <w:rsid w:val="00A1369D"/>
    <w:rsid w:val="00A140D1"/>
    <w:rsid w:val="00A153AD"/>
    <w:rsid w:val="00A2016A"/>
    <w:rsid w:val="00A2141F"/>
    <w:rsid w:val="00A234A1"/>
    <w:rsid w:val="00A23EB7"/>
    <w:rsid w:val="00A254C1"/>
    <w:rsid w:val="00A258B7"/>
    <w:rsid w:val="00A262FA"/>
    <w:rsid w:val="00A26710"/>
    <w:rsid w:val="00A275D7"/>
    <w:rsid w:val="00A30244"/>
    <w:rsid w:val="00A31F4F"/>
    <w:rsid w:val="00A35086"/>
    <w:rsid w:val="00A353C7"/>
    <w:rsid w:val="00A37242"/>
    <w:rsid w:val="00A37957"/>
    <w:rsid w:val="00A41906"/>
    <w:rsid w:val="00A45D29"/>
    <w:rsid w:val="00A520E2"/>
    <w:rsid w:val="00A54EFC"/>
    <w:rsid w:val="00A565FD"/>
    <w:rsid w:val="00A57B90"/>
    <w:rsid w:val="00A710EA"/>
    <w:rsid w:val="00A711C1"/>
    <w:rsid w:val="00A71228"/>
    <w:rsid w:val="00A73549"/>
    <w:rsid w:val="00A737E3"/>
    <w:rsid w:val="00A747BE"/>
    <w:rsid w:val="00A76B72"/>
    <w:rsid w:val="00A772A5"/>
    <w:rsid w:val="00A778DD"/>
    <w:rsid w:val="00A779CA"/>
    <w:rsid w:val="00A802FA"/>
    <w:rsid w:val="00A8217A"/>
    <w:rsid w:val="00A8719A"/>
    <w:rsid w:val="00A87544"/>
    <w:rsid w:val="00A913B3"/>
    <w:rsid w:val="00A9179E"/>
    <w:rsid w:val="00A92AA2"/>
    <w:rsid w:val="00A93F32"/>
    <w:rsid w:val="00AA0DB6"/>
    <w:rsid w:val="00AA0F44"/>
    <w:rsid w:val="00AA1D69"/>
    <w:rsid w:val="00AA32F2"/>
    <w:rsid w:val="00AA3797"/>
    <w:rsid w:val="00AA6D81"/>
    <w:rsid w:val="00AB077E"/>
    <w:rsid w:val="00AB124E"/>
    <w:rsid w:val="00AB2128"/>
    <w:rsid w:val="00AB278C"/>
    <w:rsid w:val="00AB60FB"/>
    <w:rsid w:val="00AB657A"/>
    <w:rsid w:val="00AB7BE5"/>
    <w:rsid w:val="00AC0163"/>
    <w:rsid w:val="00AC0EC9"/>
    <w:rsid w:val="00AC6674"/>
    <w:rsid w:val="00AD0CFD"/>
    <w:rsid w:val="00AD1A29"/>
    <w:rsid w:val="00AD1DC3"/>
    <w:rsid w:val="00AD3379"/>
    <w:rsid w:val="00AD6670"/>
    <w:rsid w:val="00AE3A9E"/>
    <w:rsid w:val="00AE4E25"/>
    <w:rsid w:val="00AE7F30"/>
    <w:rsid w:val="00AF06CB"/>
    <w:rsid w:val="00AF0B9C"/>
    <w:rsid w:val="00AF0DBF"/>
    <w:rsid w:val="00AF15E8"/>
    <w:rsid w:val="00AF24E0"/>
    <w:rsid w:val="00AF43C4"/>
    <w:rsid w:val="00AF735D"/>
    <w:rsid w:val="00AF7CF6"/>
    <w:rsid w:val="00B03E34"/>
    <w:rsid w:val="00B04B46"/>
    <w:rsid w:val="00B05D7E"/>
    <w:rsid w:val="00B060B6"/>
    <w:rsid w:val="00B104BB"/>
    <w:rsid w:val="00B10B2F"/>
    <w:rsid w:val="00B11EFF"/>
    <w:rsid w:val="00B12CD6"/>
    <w:rsid w:val="00B12E08"/>
    <w:rsid w:val="00B140E6"/>
    <w:rsid w:val="00B1433D"/>
    <w:rsid w:val="00B2250B"/>
    <w:rsid w:val="00B24299"/>
    <w:rsid w:val="00B24FB6"/>
    <w:rsid w:val="00B255E8"/>
    <w:rsid w:val="00B263EB"/>
    <w:rsid w:val="00B264CA"/>
    <w:rsid w:val="00B274A7"/>
    <w:rsid w:val="00B309BB"/>
    <w:rsid w:val="00B31219"/>
    <w:rsid w:val="00B314F9"/>
    <w:rsid w:val="00B324C3"/>
    <w:rsid w:val="00B329E1"/>
    <w:rsid w:val="00B367C4"/>
    <w:rsid w:val="00B41470"/>
    <w:rsid w:val="00B4148C"/>
    <w:rsid w:val="00B415CE"/>
    <w:rsid w:val="00B41BF6"/>
    <w:rsid w:val="00B43C80"/>
    <w:rsid w:val="00B447FE"/>
    <w:rsid w:val="00B54F0C"/>
    <w:rsid w:val="00B577AF"/>
    <w:rsid w:val="00B60A22"/>
    <w:rsid w:val="00B62664"/>
    <w:rsid w:val="00B64159"/>
    <w:rsid w:val="00B64A2A"/>
    <w:rsid w:val="00B64B10"/>
    <w:rsid w:val="00B65FDA"/>
    <w:rsid w:val="00B70253"/>
    <w:rsid w:val="00B71CB3"/>
    <w:rsid w:val="00B774E2"/>
    <w:rsid w:val="00B775D2"/>
    <w:rsid w:val="00B778AB"/>
    <w:rsid w:val="00B802DF"/>
    <w:rsid w:val="00B81035"/>
    <w:rsid w:val="00B834D3"/>
    <w:rsid w:val="00B835AD"/>
    <w:rsid w:val="00B85DB3"/>
    <w:rsid w:val="00B92D1C"/>
    <w:rsid w:val="00B93255"/>
    <w:rsid w:val="00B95963"/>
    <w:rsid w:val="00B95B11"/>
    <w:rsid w:val="00B96C28"/>
    <w:rsid w:val="00B977A7"/>
    <w:rsid w:val="00BA0986"/>
    <w:rsid w:val="00BA1523"/>
    <w:rsid w:val="00BA2AF1"/>
    <w:rsid w:val="00BA3179"/>
    <w:rsid w:val="00BA6AEF"/>
    <w:rsid w:val="00BA7112"/>
    <w:rsid w:val="00BA7504"/>
    <w:rsid w:val="00BA7BFB"/>
    <w:rsid w:val="00BA7EF7"/>
    <w:rsid w:val="00BB5DE3"/>
    <w:rsid w:val="00BB6507"/>
    <w:rsid w:val="00BB76C6"/>
    <w:rsid w:val="00BC0CDD"/>
    <w:rsid w:val="00BD17AD"/>
    <w:rsid w:val="00BE15AA"/>
    <w:rsid w:val="00BE3C39"/>
    <w:rsid w:val="00BE6562"/>
    <w:rsid w:val="00BE6C45"/>
    <w:rsid w:val="00BE7858"/>
    <w:rsid w:val="00BF04CE"/>
    <w:rsid w:val="00BF05BB"/>
    <w:rsid w:val="00BF062B"/>
    <w:rsid w:val="00BF079A"/>
    <w:rsid w:val="00BF149A"/>
    <w:rsid w:val="00BF66C4"/>
    <w:rsid w:val="00BF7CF8"/>
    <w:rsid w:val="00C0230C"/>
    <w:rsid w:val="00C04FEB"/>
    <w:rsid w:val="00C053AB"/>
    <w:rsid w:val="00C0606E"/>
    <w:rsid w:val="00C109F3"/>
    <w:rsid w:val="00C10F17"/>
    <w:rsid w:val="00C12073"/>
    <w:rsid w:val="00C121AD"/>
    <w:rsid w:val="00C12D86"/>
    <w:rsid w:val="00C15F0B"/>
    <w:rsid w:val="00C162FA"/>
    <w:rsid w:val="00C20112"/>
    <w:rsid w:val="00C21748"/>
    <w:rsid w:val="00C2198B"/>
    <w:rsid w:val="00C21C7A"/>
    <w:rsid w:val="00C2428D"/>
    <w:rsid w:val="00C2694D"/>
    <w:rsid w:val="00C30416"/>
    <w:rsid w:val="00C3451F"/>
    <w:rsid w:val="00C43C69"/>
    <w:rsid w:val="00C44D06"/>
    <w:rsid w:val="00C46C9D"/>
    <w:rsid w:val="00C47A25"/>
    <w:rsid w:val="00C507F8"/>
    <w:rsid w:val="00C5151B"/>
    <w:rsid w:val="00C517C5"/>
    <w:rsid w:val="00C52811"/>
    <w:rsid w:val="00C56E29"/>
    <w:rsid w:val="00C57950"/>
    <w:rsid w:val="00C60616"/>
    <w:rsid w:val="00C607C7"/>
    <w:rsid w:val="00C61DB3"/>
    <w:rsid w:val="00C629F6"/>
    <w:rsid w:val="00C6329E"/>
    <w:rsid w:val="00C652F3"/>
    <w:rsid w:val="00C6579D"/>
    <w:rsid w:val="00C67D4F"/>
    <w:rsid w:val="00C708ED"/>
    <w:rsid w:val="00C7213F"/>
    <w:rsid w:val="00C73669"/>
    <w:rsid w:val="00C73BE5"/>
    <w:rsid w:val="00C76071"/>
    <w:rsid w:val="00C802D7"/>
    <w:rsid w:val="00C80771"/>
    <w:rsid w:val="00C82559"/>
    <w:rsid w:val="00C911FB"/>
    <w:rsid w:val="00C91468"/>
    <w:rsid w:val="00C937FE"/>
    <w:rsid w:val="00C9557C"/>
    <w:rsid w:val="00C97EB2"/>
    <w:rsid w:val="00CA5924"/>
    <w:rsid w:val="00CA78D1"/>
    <w:rsid w:val="00CB0A1C"/>
    <w:rsid w:val="00CB0F77"/>
    <w:rsid w:val="00CB1EBA"/>
    <w:rsid w:val="00CB2A58"/>
    <w:rsid w:val="00CB51C5"/>
    <w:rsid w:val="00CB526F"/>
    <w:rsid w:val="00CB5C47"/>
    <w:rsid w:val="00CB690B"/>
    <w:rsid w:val="00CB73D7"/>
    <w:rsid w:val="00CC0097"/>
    <w:rsid w:val="00CC10B2"/>
    <w:rsid w:val="00CC2100"/>
    <w:rsid w:val="00CC2491"/>
    <w:rsid w:val="00CC2874"/>
    <w:rsid w:val="00CC353A"/>
    <w:rsid w:val="00CC4F44"/>
    <w:rsid w:val="00CC6A80"/>
    <w:rsid w:val="00CC7948"/>
    <w:rsid w:val="00CD18B2"/>
    <w:rsid w:val="00CD1B85"/>
    <w:rsid w:val="00CD3E1C"/>
    <w:rsid w:val="00CD6862"/>
    <w:rsid w:val="00CD7E09"/>
    <w:rsid w:val="00CE0B3C"/>
    <w:rsid w:val="00CE0EE4"/>
    <w:rsid w:val="00CE3EE1"/>
    <w:rsid w:val="00CE4433"/>
    <w:rsid w:val="00CE538A"/>
    <w:rsid w:val="00CE53B0"/>
    <w:rsid w:val="00CE5B9E"/>
    <w:rsid w:val="00CE6A72"/>
    <w:rsid w:val="00CF065E"/>
    <w:rsid w:val="00CF16B3"/>
    <w:rsid w:val="00CF3330"/>
    <w:rsid w:val="00CF38C5"/>
    <w:rsid w:val="00CF51B4"/>
    <w:rsid w:val="00D03FEF"/>
    <w:rsid w:val="00D04A3C"/>
    <w:rsid w:val="00D05BAF"/>
    <w:rsid w:val="00D13BE3"/>
    <w:rsid w:val="00D175CC"/>
    <w:rsid w:val="00D2103E"/>
    <w:rsid w:val="00D2422C"/>
    <w:rsid w:val="00D252F7"/>
    <w:rsid w:val="00D27C40"/>
    <w:rsid w:val="00D31C7C"/>
    <w:rsid w:val="00D3564D"/>
    <w:rsid w:val="00D376AD"/>
    <w:rsid w:val="00D37B04"/>
    <w:rsid w:val="00D37E16"/>
    <w:rsid w:val="00D40496"/>
    <w:rsid w:val="00D4058A"/>
    <w:rsid w:val="00D423A8"/>
    <w:rsid w:val="00D43330"/>
    <w:rsid w:val="00D43DD6"/>
    <w:rsid w:val="00D50394"/>
    <w:rsid w:val="00D5467B"/>
    <w:rsid w:val="00D552C8"/>
    <w:rsid w:val="00D5625A"/>
    <w:rsid w:val="00D56526"/>
    <w:rsid w:val="00D57067"/>
    <w:rsid w:val="00D6183C"/>
    <w:rsid w:val="00D6194D"/>
    <w:rsid w:val="00D62663"/>
    <w:rsid w:val="00D63DA8"/>
    <w:rsid w:val="00D64068"/>
    <w:rsid w:val="00D6779A"/>
    <w:rsid w:val="00D70D81"/>
    <w:rsid w:val="00D71AB2"/>
    <w:rsid w:val="00D75335"/>
    <w:rsid w:val="00D7629C"/>
    <w:rsid w:val="00D763BC"/>
    <w:rsid w:val="00D76BD2"/>
    <w:rsid w:val="00D77BC7"/>
    <w:rsid w:val="00D77FD1"/>
    <w:rsid w:val="00D82A53"/>
    <w:rsid w:val="00D83987"/>
    <w:rsid w:val="00D849FD"/>
    <w:rsid w:val="00D85050"/>
    <w:rsid w:val="00D8637C"/>
    <w:rsid w:val="00D87D41"/>
    <w:rsid w:val="00D90FCA"/>
    <w:rsid w:val="00D92292"/>
    <w:rsid w:val="00D92DD8"/>
    <w:rsid w:val="00D93AAB"/>
    <w:rsid w:val="00D968DA"/>
    <w:rsid w:val="00DA1E42"/>
    <w:rsid w:val="00DA5227"/>
    <w:rsid w:val="00DA5FD2"/>
    <w:rsid w:val="00DB267C"/>
    <w:rsid w:val="00DB320D"/>
    <w:rsid w:val="00DB4307"/>
    <w:rsid w:val="00DB7F4F"/>
    <w:rsid w:val="00DC0B69"/>
    <w:rsid w:val="00DC0EFB"/>
    <w:rsid w:val="00DC2643"/>
    <w:rsid w:val="00DC431D"/>
    <w:rsid w:val="00DC53C6"/>
    <w:rsid w:val="00DC687B"/>
    <w:rsid w:val="00DD07AD"/>
    <w:rsid w:val="00DD07F1"/>
    <w:rsid w:val="00DD0EA7"/>
    <w:rsid w:val="00DD1B98"/>
    <w:rsid w:val="00DD3B68"/>
    <w:rsid w:val="00DD40D7"/>
    <w:rsid w:val="00DD4364"/>
    <w:rsid w:val="00DD623E"/>
    <w:rsid w:val="00DD7158"/>
    <w:rsid w:val="00DE0CF2"/>
    <w:rsid w:val="00DE1E33"/>
    <w:rsid w:val="00DE3505"/>
    <w:rsid w:val="00DE41ED"/>
    <w:rsid w:val="00DE453C"/>
    <w:rsid w:val="00DE55C9"/>
    <w:rsid w:val="00DF0670"/>
    <w:rsid w:val="00DF1FA8"/>
    <w:rsid w:val="00DF25C8"/>
    <w:rsid w:val="00DF67BF"/>
    <w:rsid w:val="00DF6AA8"/>
    <w:rsid w:val="00DF76CD"/>
    <w:rsid w:val="00E02378"/>
    <w:rsid w:val="00E0277F"/>
    <w:rsid w:val="00E04C99"/>
    <w:rsid w:val="00E051AF"/>
    <w:rsid w:val="00E12292"/>
    <w:rsid w:val="00E12FEC"/>
    <w:rsid w:val="00E1362D"/>
    <w:rsid w:val="00E163D0"/>
    <w:rsid w:val="00E20EC4"/>
    <w:rsid w:val="00E22AAD"/>
    <w:rsid w:val="00E22BA8"/>
    <w:rsid w:val="00E230BC"/>
    <w:rsid w:val="00E23379"/>
    <w:rsid w:val="00E24C27"/>
    <w:rsid w:val="00E251F0"/>
    <w:rsid w:val="00E25351"/>
    <w:rsid w:val="00E304DD"/>
    <w:rsid w:val="00E30923"/>
    <w:rsid w:val="00E31B5E"/>
    <w:rsid w:val="00E3468B"/>
    <w:rsid w:val="00E34AF8"/>
    <w:rsid w:val="00E36445"/>
    <w:rsid w:val="00E368BA"/>
    <w:rsid w:val="00E40184"/>
    <w:rsid w:val="00E424F5"/>
    <w:rsid w:val="00E4453F"/>
    <w:rsid w:val="00E47279"/>
    <w:rsid w:val="00E47756"/>
    <w:rsid w:val="00E52673"/>
    <w:rsid w:val="00E53DA3"/>
    <w:rsid w:val="00E53E3B"/>
    <w:rsid w:val="00E5528E"/>
    <w:rsid w:val="00E559DC"/>
    <w:rsid w:val="00E6228F"/>
    <w:rsid w:val="00E63D06"/>
    <w:rsid w:val="00E65D4B"/>
    <w:rsid w:val="00E666CE"/>
    <w:rsid w:val="00E72E45"/>
    <w:rsid w:val="00E75E20"/>
    <w:rsid w:val="00E761E4"/>
    <w:rsid w:val="00E764BE"/>
    <w:rsid w:val="00E76C82"/>
    <w:rsid w:val="00E77922"/>
    <w:rsid w:val="00E801C4"/>
    <w:rsid w:val="00E81254"/>
    <w:rsid w:val="00E824CC"/>
    <w:rsid w:val="00E83002"/>
    <w:rsid w:val="00E8311C"/>
    <w:rsid w:val="00E831B7"/>
    <w:rsid w:val="00E8486A"/>
    <w:rsid w:val="00E85007"/>
    <w:rsid w:val="00E86CDB"/>
    <w:rsid w:val="00E909EE"/>
    <w:rsid w:val="00E91708"/>
    <w:rsid w:val="00E918CB"/>
    <w:rsid w:val="00E931F3"/>
    <w:rsid w:val="00E9403A"/>
    <w:rsid w:val="00E94895"/>
    <w:rsid w:val="00E95AD4"/>
    <w:rsid w:val="00E973D0"/>
    <w:rsid w:val="00EA0864"/>
    <w:rsid w:val="00EA133C"/>
    <w:rsid w:val="00EA1494"/>
    <w:rsid w:val="00EA1F6C"/>
    <w:rsid w:val="00EA523E"/>
    <w:rsid w:val="00EA5951"/>
    <w:rsid w:val="00EB0AD0"/>
    <w:rsid w:val="00EB0CC5"/>
    <w:rsid w:val="00EB327C"/>
    <w:rsid w:val="00EB36D8"/>
    <w:rsid w:val="00EB49D2"/>
    <w:rsid w:val="00EB4FE1"/>
    <w:rsid w:val="00EB5865"/>
    <w:rsid w:val="00EB6BF1"/>
    <w:rsid w:val="00EB6C25"/>
    <w:rsid w:val="00EC054D"/>
    <w:rsid w:val="00EC1BC4"/>
    <w:rsid w:val="00EC2F0A"/>
    <w:rsid w:val="00EC446B"/>
    <w:rsid w:val="00EC5496"/>
    <w:rsid w:val="00ED4559"/>
    <w:rsid w:val="00ED4A13"/>
    <w:rsid w:val="00ED5BDE"/>
    <w:rsid w:val="00EE2ABF"/>
    <w:rsid w:val="00EE66FF"/>
    <w:rsid w:val="00EE6EDB"/>
    <w:rsid w:val="00EE7D4D"/>
    <w:rsid w:val="00EF1819"/>
    <w:rsid w:val="00EF1E50"/>
    <w:rsid w:val="00EF337C"/>
    <w:rsid w:val="00EF593E"/>
    <w:rsid w:val="00EF5F01"/>
    <w:rsid w:val="00F0105D"/>
    <w:rsid w:val="00F027C0"/>
    <w:rsid w:val="00F07CA0"/>
    <w:rsid w:val="00F07F48"/>
    <w:rsid w:val="00F10957"/>
    <w:rsid w:val="00F11119"/>
    <w:rsid w:val="00F11AD3"/>
    <w:rsid w:val="00F142D2"/>
    <w:rsid w:val="00F16737"/>
    <w:rsid w:val="00F1719A"/>
    <w:rsid w:val="00F20F3C"/>
    <w:rsid w:val="00F22DEB"/>
    <w:rsid w:val="00F23D77"/>
    <w:rsid w:val="00F23E46"/>
    <w:rsid w:val="00F25AA9"/>
    <w:rsid w:val="00F27596"/>
    <w:rsid w:val="00F30105"/>
    <w:rsid w:val="00F3084B"/>
    <w:rsid w:val="00F32412"/>
    <w:rsid w:val="00F33973"/>
    <w:rsid w:val="00F36EA6"/>
    <w:rsid w:val="00F37D7D"/>
    <w:rsid w:val="00F4299B"/>
    <w:rsid w:val="00F4633E"/>
    <w:rsid w:val="00F46FD8"/>
    <w:rsid w:val="00F50294"/>
    <w:rsid w:val="00F5162A"/>
    <w:rsid w:val="00F52372"/>
    <w:rsid w:val="00F52CC0"/>
    <w:rsid w:val="00F52FDA"/>
    <w:rsid w:val="00F53826"/>
    <w:rsid w:val="00F53E1E"/>
    <w:rsid w:val="00F548B2"/>
    <w:rsid w:val="00F75BF4"/>
    <w:rsid w:val="00F7674B"/>
    <w:rsid w:val="00F803EF"/>
    <w:rsid w:val="00F811C2"/>
    <w:rsid w:val="00F82314"/>
    <w:rsid w:val="00F834E1"/>
    <w:rsid w:val="00F83D11"/>
    <w:rsid w:val="00F90C71"/>
    <w:rsid w:val="00F93E21"/>
    <w:rsid w:val="00F96D1C"/>
    <w:rsid w:val="00FA3109"/>
    <w:rsid w:val="00FA31C3"/>
    <w:rsid w:val="00FA40E4"/>
    <w:rsid w:val="00FA56C9"/>
    <w:rsid w:val="00FA603C"/>
    <w:rsid w:val="00FB1987"/>
    <w:rsid w:val="00FB1DC3"/>
    <w:rsid w:val="00FB744D"/>
    <w:rsid w:val="00FB7477"/>
    <w:rsid w:val="00FC00AE"/>
    <w:rsid w:val="00FC2935"/>
    <w:rsid w:val="00FC3BF0"/>
    <w:rsid w:val="00FC6727"/>
    <w:rsid w:val="00FC798D"/>
    <w:rsid w:val="00FD1E96"/>
    <w:rsid w:val="00FD1FD6"/>
    <w:rsid w:val="00FD3FE3"/>
    <w:rsid w:val="00FD42CC"/>
    <w:rsid w:val="00FD477B"/>
    <w:rsid w:val="00FD4BFD"/>
    <w:rsid w:val="00FD5FE2"/>
    <w:rsid w:val="00FE0DFD"/>
    <w:rsid w:val="00FE223F"/>
    <w:rsid w:val="00FE6D94"/>
    <w:rsid w:val="00FF028B"/>
    <w:rsid w:val="00FF42E3"/>
    <w:rsid w:val="00FF5644"/>
    <w:rsid w:val="00FF66B7"/>
    <w:rsid w:val="00FF7440"/>
    <w:rsid w:val="00FF7686"/>
    <w:rsid w:val="01C161A0"/>
    <w:rsid w:val="03E716D5"/>
    <w:rsid w:val="061D0ABC"/>
    <w:rsid w:val="09CB4975"/>
    <w:rsid w:val="0EA55AF2"/>
    <w:rsid w:val="0F1227F3"/>
    <w:rsid w:val="10257DAF"/>
    <w:rsid w:val="10C13514"/>
    <w:rsid w:val="1233242F"/>
    <w:rsid w:val="13C70E42"/>
    <w:rsid w:val="15FA6724"/>
    <w:rsid w:val="18CA1860"/>
    <w:rsid w:val="1A9B38EB"/>
    <w:rsid w:val="1B4C3298"/>
    <w:rsid w:val="1C053F8F"/>
    <w:rsid w:val="1C5136EB"/>
    <w:rsid w:val="1D092531"/>
    <w:rsid w:val="1DC1221D"/>
    <w:rsid w:val="208C266E"/>
    <w:rsid w:val="21044D46"/>
    <w:rsid w:val="213A5C45"/>
    <w:rsid w:val="217C0935"/>
    <w:rsid w:val="25B94FF6"/>
    <w:rsid w:val="28B05368"/>
    <w:rsid w:val="2B4A3549"/>
    <w:rsid w:val="30EE72D6"/>
    <w:rsid w:val="326961BA"/>
    <w:rsid w:val="328C5416"/>
    <w:rsid w:val="355E4119"/>
    <w:rsid w:val="360163F8"/>
    <w:rsid w:val="37335AE2"/>
    <w:rsid w:val="3AE16E59"/>
    <w:rsid w:val="3B1479D8"/>
    <w:rsid w:val="3C4A3258"/>
    <w:rsid w:val="421C4776"/>
    <w:rsid w:val="422E4047"/>
    <w:rsid w:val="429531AD"/>
    <w:rsid w:val="43CF3D71"/>
    <w:rsid w:val="515C1DA5"/>
    <w:rsid w:val="52BF1CCD"/>
    <w:rsid w:val="54B1183C"/>
    <w:rsid w:val="55A92F2A"/>
    <w:rsid w:val="5A274BDA"/>
    <w:rsid w:val="5F957CDE"/>
    <w:rsid w:val="601B2543"/>
    <w:rsid w:val="60F06EC4"/>
    <w:rsid w:val="61930DA7"/>
    <w:rsid w:val="65270184"/>
    <w:rsid w:val="65E9543A"/>
    <w:rsid w:val="69557902"/>
    <w:rsid w:val="699A7240"/>
    <w:rsid w:val="6B2A0087"/>
    <w:rsid w:val="6D3451EC"/>
    <w:rsid w:val="6EF54E4F"/>
    <w:rsid w:val="6F4831D1"/>
    <w:rsid w:val="708741CD"/>
    <w:rsid w:val="70C90342"/>
    <w:rsid w:val="70D0426D"/>
    <w:rsid w:val="71186BD3"/>
    <w:rsid w:val="715045BF"/>
    <w:rsid w:val="71C90DAD"/>
    <w:rsid w:val="7270316B"/>
    <w:rsid w:val="72B91FED"/>
    <w:rsid w:val="72E70F53"/>
    <w:rsid w:val="7A113406"/>
    <w:rsid w:val="7B7857F8"/>
    <w:rsid w:val="7DC26D78"/>
    <w:rsid w:val="7E1F49DB"/>
    <w:rsid w:val="7ECF3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0DDC7B"/>
  <w15:docId w15:val="{F7FB3F46-6823-4A19-8F92-7561A482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footnote text"/>
    <w:basedOn w:val="a"/>
    <w:link w:val="ac"/>
    <w:uiPriority w:val="99"/>
    <w:unhideWhenUsed/>
    <w:qFormat/>
    <w:pPr>
      <w:snapToGrid w:val="0"/>
      <w:jc w:val="left"/>
    </w:pPr>
    <w:rPr>
      <w:sz w:val="18"/>
      <w:szCs w:val="18"/>
    </w:rPr>
  </w:style>
  <w:style w:type="paragraph" w:styleId="ad">
    <w:name w:val="annotation subject"/>
    <w:basedOn w:val="a3"/>
    <w:next w:val="a3"/>
    <w:link w:val="ae"/>
    <w:uiPriority w:val="99"/>
    <w:semiHidden/>
    <w:unhideWhenUsed/>
    <w:qFormat/>
    <w:rPr>
      <w:b/>
      <w:b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styleId="af1">
    <w:name w:val="footnote reference"/>
    <w:basedOn w:val="a0"/>
    <w:uiPriority w:val="99"/>
    <w:unhideWhenUsed/>
    <w:qFormat/>
    <w:rPr>
      <w:vertAlign w:val="superscript"/>
    </w:rPr>
  </w:style>
  <w:style w:type="paragraph" w:customStyle="1" w:styleId="af2">
    <w:name w:val="民间法正文"/>
    <w:basedOn w:val="a"/>
    <w:link w:val="af3"/>
    <w:qFormat/>
    <w:pPr>
      <w:spacing w:line="400" w:lineRule="exact"/>
      <w:ind w:firstLineChars="200" w:firstLine="200"/>
    </w:pPr>
    <w:rPr>
      <w:rFonts w:ascii="Calibri" w:hAnsi="Calibri" w:cs="Times New Roman"/>
      <w:sz w:val="24"/>
      <w:szCs w:val="24"/>
    </w:rPr>
  </w:style>
  <w:style w:type="character" w:customStyle="1" w:styleId="af3">
    <w:name w:val="民间法正文 字符"/>
    <w:basedOn w:val="a0"/>
    <w:link w:val="af2"/>
    <w:qFormat/>
    <w:rPr>
      <w:rFonts w:ascii="Calibri" w:hAnsi="Calibri" w:cs="Times New Roman"/>
      <w:sz w:val="24"/>
      <w:szCs w:val="24"/>
    </w:rPr>
  </w:style>
  <w:style w:type="character" w:customStyle="1" w:styleId="fontstyle01">
    <w:name w:val="fontstyle01"/>
    <w:qFormat/>
    <w:rPr>
      <w:rFonts w:ascii="宋体" w:eastAsia="宋体" w:hAnsi="宋体" w:hint="eastAsia"/>
      <w:color w:val="231F20"/>
      <w:sz w:val="22"/>
      <w:szCs w:val="22"/>
    </w:rPr>
  </w:style>
  <w:style w:type="character" w:customStyle="1" w:styleId="ac">
    <w:name w:val="脚注文本 字符"/>
    <w:basedOn w:val="a0"/>
    <w:link w:val="ab"/>
    <w:uiPriority w:val="99"/>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e">
    <w:name w:val="批注主题 字符"/>
    <w:basedOn w:val="a4"/>
    <w:link w:val="ad"/>
    <w:uiPriority w:val="99"/>
    <w:semiHidden/>
    <w:qFormat/>
    <w:rPr>
      <w:b/>
      <w:bCs/>
    </w:rPr>
  </w:style>
  <w:style w:type="character" w:customStyle="1" w:styleId="a6">
    <w:name w:val="批注框文本 字符"/>
    <w:basedOn w:val="a0"/>
    <w:link w:val="a5"/>
    <w:uiPriority w:val="99"/>
    <w:semiHidden/>
    <w:qFormat/>
    <w:rPr>
      <w:sz w:val="18"/>
      <w:szCs w:val="18"/>
    </w:rPr>
  </w:style>
  <w:style w:type="character" w:customStyle="1" w:styleId="1">
    <w:name w:val="未处理的提及1"/>
    <w:basedOn w:val="a0"/>
    <w:uiPriority w:val="99"/>
    <w:semiHidden/>
    <w:unhideWhenUsed/>
    <w:rPr>
      <w:color w:val="605E5C"/>
      <w:shd w:val="clear" w:color="auto" w:fill="E1DFDD"/>
    </w:rPr>
  </w:style>
  <w:style w:type="character" w:customStyle="1" w:styleId="2">
    <w:name w:val="未处理的提及2"/>
    <w:basedOn w:val="a0"/>
    <w:uiPriority w:val="99"/>
    <w:semiHidden/>
    <w:unhideWhenUsed/>
    <w:qFormat/>
    <w:rPr>
      <w:color w:val="605E5C"/>
      <w:shd w:val="clear" w:color="auto" w:fill="E1DFDD"/>
    </w:rPr>
  </w:style>
  <w:style w:type="character" w:customStyle="1" w:styleId="3">
    <w:name w:val="未处理的提及3"/>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89DE3-3A3B-495A-99F5-6BBAC4524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1065</Words>
  <Characters>6071</Characters>
  <Application>Microsoft Office Word</Application>
  <DocSecurity>0</DocSecurity>
  <Lines>50</Lines>
  <Paragraphs>14</Paragraphs>
  <ScaleCrop>false</ScaleCrop>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郑 志泽</dc:creator>
  <cp:lastModifiedBy>HUAWEI</cp:lastModifiedBy>
  <cp:revision>6</cp:revision>
  <cp:lastPrinted>2024-03-08T02:01:00Z</cp:lastPrinted>
  <dcterms:created xsi:type="dcterms:W3CDTF">2024-04-01T01:13:00Z</dcterms:created>
  <dcterms:modified xsi:type="dcterms:W3CDTF">2025-09-17T00:30:00Z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DAF33019D4F54080B45F0ED0FCA79067_13</vt:lpwstr>
  </property>
</Properties>
</file>