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a"/>
      </w:pPr>
      <w:r>
        <w:t>技术文档模板</w:t>
      </w:r>
    </w:p>
    <w:p>
      <w:pPr>
        <w:pStyle w:val="FirstParagraph"/>
      </w:pPr>
      <w:r>
        <w:t>本模板面向软件系统设计说明、接口设计说明、部署实施说明、运维手册等技术文档，结构参考 GB/T 8567-2006、GB/T 32424-2015 以及 ISO/IEC/IEEE 26514 的软件文档要求。</w:t>
      </w:r>
    </w:p>
    <w:p>
      <w:pPr>
        <w:pStyle w:val="1"/>
      </w:pPr>
      <w:r>
        <w:t>文档概述</w:t>
      </w:r>
    </w:p>
    <w:p>
      <w:pPr>
        <w:pStyle w:val="FirstParagraph"/>
      </w:pPr>
      <w:r>
        <w:t>说明文档目的、适用范围、目标读者、上下游系统、术语约定与编制边界。</w:t>
      </w:r>
    </w:p>
    <w:p>
      <w:pPr>
        <w:pStyle w:val="21"/>
      </w:pPr>
      <w:r>
        <w:t>体系结构与模块划分</w:t>
      </w:r>
    </w:p>
    <w:p>
      <w:pPr>
        <w:pStyle w:val="FirstParagraph"/>
      </w:pPr>
      <w:r>
        <w:t>描述系统总体架构、核心模块职责、关键数据流、外部依赖、接口边界以及安全与权限控制要求。</w:t>
      </w:r>
    </w:p>
    <w:p>
      <w:pPr>
        <w:pStyle w:val="21"/>
      </w:pPr>
      <w:r>
        <w:t>部署与运维要求</w:t>
      </w:r>
    </w:p>
    <w:p>
      <w:pPr>
        <w:pStyle w:val="FirstParagraph"/>
      </w:pPr>
      <w:r>
        <w:t>记录运行环境、配置项、发布步骤、监控告警、备份恢复、故障排查与版本兼容性要求。</w:t>
      </w:r>
    </w:p>
    <w:p>
      <w:pPr>
        <w:pStyle w:val="SourceCode"/>
      </w:pPr>
      <w:r>
        <w:rPr>
          <w:rStyle w:val="VerbatimChar"/>
        </w:rPr>
        <w:t xml:space="preserve">system: export-service</w:t>
      </w:r>
      <w:r>
        <w:br/>
      </w:r>
      <w:r>
        <w:rPr>
          <w:rStyle w:val="VerbatimChar"/>
        </w:rPr>
        <w:t xml:space="preserve">module: docx-renderer</w:t>
      </w:r>
      <w:r>
        <w:br/>
      </w:r>
      <w:r>
        <w:rPr>
          <w:rStyle w:val="VerbatimChar"/>
        </w:rPr>
        <w:t xml:space="preserve">input: markdown, mermaid-assets</w:t>
      </w:r>
      <w:r>
        <w:br/>
      </w:r>
      <w:r>
        <w:rPr>
          <w:rStyle w:val="VerbatimChar"/>
        </w:rPr>
        <w:t xml:space="preserve">output: docx</w:t>
      </w:r>
    </w:p>
    <w:p>
      <w:pPr>
        <w:pStyle w:val="af7"/>
      </w:pPr>
      <w:r>
        <w:t>表 1 技术要点示例</w:t>
      </w:r>
    </w:p>
    <w:tbl>
      <w:tblPr>
        <w:tblStyle w:val="aff1"/>
        <w:tblW w:w="0" w:type="auto"/>
      </w:tblPr>
      <w:tblGrid>
        <w:gridCol w:w="4200"/>
        <w:gridCol w:w="4200"/>
      </w:tblGrid>
      <w:tr>
        <w:tc>
          <w:tcPr/>
          <w:p>
            <w:pPr>
              <w:pStyle w:val="Compact"/>
            </w:pPr>
            <w:r>
              <w:t>主题</w:t>
            </w:r>
          </w:p>
        </w:tc>
        <w:tc>
          <w:tcPr/>
          <w:p>
            <w:pPr>
              <w:pStyle w:val="Compact"/>
            </w:pPr>
            <w:r>
              <w:t>建议记录内容</w:t>
            </w:r>
          </w:p>
        </w:tc>
      </w:tr>
      <w:tr>
        <w:tc>
          <w:tcPr/>
          <w:p>
            <w:pPr>
              <w:pStyle w:val="Compact"/>
            </w:pPr>
            <w:r>
              <w:t>接口</w:t>
            </w:r>
          </w:p>
        </w:tc>
        <w:tc>
          <w:tcPr/>
          <w:p>
            <w:pPr>
              <w:pStyle w:val="Compact"/>
            </w:pPr>
            <w:r>
              <w:t>协议、请求参数、响应字段、鉴权方式</w:t>
            </w:r>
          </w:p>
        </w:tc>
      </w:tr>
      <w:tr>
        <w:tc>
          <w:tcPr/>
          <w:p>
            <w:pPr>
              <w:pStyle w:val="Compact"/>
            </w:pPr>
            <w:r>
              <w:t>数据</w:t>
            </w:r>
          </w:p>
        </w:tc>
        <w:tc>
          <w:tcPr/>
          <w:p>
            <w:pPr>
              <w:pStyle w:val="Compact"/>
            </w:pPr>
            <w:r>
              <w:t>主键、编码规则、保留字段、脱敏要求</w:t>
            </w:r>
          </w:p>
        </w:tc>
      </w:tr>
      <w:tr>
        <w:tc>
          <w:tcPr/>
          <w:p>
            <w:pPr>
              <w:pStyle w:val="Compact"/>
            </w:pPr>
            <w:r>
              <w:t>运维</w:t>
            </w:r>
          </w:p>
        </w:tc>
        <w:tc>
          <w:tcPr/>
          <w:p>
            <w:pPr>
              <w:pStyle w:val="Compact"/>
            </w:pPr>
            <w:r>
              <w:t>部署顺序、回滚条件、日志位置、健康检查</w:t>
            </w:r>
          </w:p>
        </w:tc>
      </w:tr>
    </w:tbl>
    <w:p>
      <w:pPr>
        <w:pStyle w:val="af7"/>
      </w:pPr>
      <w:r>
        <w:t>代码块、接口表和分级标题是技术文档中的高频元素。</w:t>
      </w:r>
    </w:p>
    <w:sectPr w:rsidR="004F5A21" w:rsidSect="00034616">
      <w:pgSz w:w="11906" w:h="16838"/>
      <w:pgMar w:top="1417" w:right="1417" w:bottom="1417" w:left="1417" w:header="850" w:footer="9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0000000000000000000"/>
    <w:charset w:val="00"/>
    <w:family w:val="roman"/>
    <w:notTrueType/>
    <w:pitch w:val="default"/>
  </w:font>
  <w:font w:name="等宽更纱黑体 SC">
    <w:panose1 w:val="00000000000000000000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7119331">
    <w:abstractNumId w:val="8"/>
  </w:num>
  <w:num w:numId="2" w16cid:durableId="1323967574">
    <w:abstractNumId w:val="6"/>
  </w:num>
  <w:num w:numId="3" w16cid:durableId="402605553">
    <w:abstractNumId w:val="5"/>
  </w:num>
  <w:num w:numId="4" w16cid:durableId="259069585">
    <w:abstractNumId w:val="4"/>
  </w:num>
  <w:num w:numId="5" w16cid:durableId="2043556953">
    <w:abstractNumId w:val="7"/>
  </w:num>
  <w:num w:numId="6" w16cid:durableId="479349336">
    <w:abstractNumId w:val="3"/>
  </w:num>
  <w:num w:numId="7" w16cid:durableId="664623686">
    <w:abstractNumId w:val="2"/>
  </w:num>
  <w:num w:numId="8" w16cid:durableId="1350256531">
    <w:abstractNumId w:val="1"/>
  </w:num>
  <w:num w:numId="9" w16cid:durableId="1479229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5A21"/>
    <w:rsid w:val="00646C9D"/>
    <w:rsid w:val="00A964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777D17"/>
  <w14:defaultImageDpi w14:val="300"/>
  <w15:docId w15:val="{6B438E4E-C6E0-457C-A8AA-072278605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60" w:line="300" w:lineRule="auto"/>
      <w:jc w:val="both"/>
    </w:pPr>
    <w:rPr>
      <w:rFonts w:ascii="Arial" w:eastAsia="宋体" w:hAnsi="Arial" w:cs="Arial"/>
      <w:color w:val="1F2937"/>
      <w:sz w:val="24"/>
      <w:szCs w:val="24"/>
    </w:rPr>
  </w:style>
  <w:style w:type="paragraph" w:styleId="1">
    <w:name w:val="heading 1"/>
    <w:basedOn w:val="a1"/>
    <w:next w:val="FirstParagraph"/>
    <w:link w:val="10"/>
    <w:uiPriority w:val="9"/>
    <w:qFormat/>
    <w:pPr>
      <w:keepNext/>
      <w:keepLines/>
      <w:numPr>
        <w:numId w:val="1"/>
      </w:numPr>
      <w:spacing w:before="240" w:after="100" w:line="300" w:lineRule="auto"/>
      <w:ind w:firstLine="0"/>
      <w:jc w:val="left"/>
      <w:outlineLvl w:val="0"/>
    </w:pPr>
    <w:rPr>
      <w:rFonts w:ascii="Arial" w:eastAsia="黑体" w:hAnsi="Arial" w:cs="Arial"/>
      <w:b/>
      <w:color w:val="1D4E89"/>
      <w:sz w:val="32"/>
      <w:szCs w:val="32"/>
    </w:rPr>
  </w:style>
  <w:style w:type="paragraph" w:styleId="21">
    <w:name w:val="heading 2"/>
    <w:basedOn w:val="a1"/>
    <w:next w:val="FirstParagraph"/>
    <w:link w:val="22"/>
    <w:uiPriority w:val="9"/>
    <w:qFormat/>
    <w:pPr>
      <w:keepNext/>
      <w:keepLines/>
      <w:numPr>
        <w:ilvl w:val="1"/>
        <w:numId w:val="1"/>
      </w:numPr>
      <w:spacing w:before="180" w:after="80" w:line="300" w:lineRule="auto"/>
      <w:ind w:firstLine="0"/>
      <w:jc w:val="left"/>
      <w:outlineLvl w:val="1"/>
    </w:pPr>
    <w:rPr>
      <w:rFonts w:ascii="Arial" w:eastAsia="黑体" w:hAnsi="Arial" w:cs="Arial"/>
      <w:b/>
      <w:color w:val="1D4E89"/>
      <w:sz w:val="28"/>
      <w:szCs w:val="28"/>
    </w:rPr>
  </w:style>
  <w:style w:type="paragraph" w:styleId="31">
    <w:name w:val="heading 3"/>
    <w:basedOn w:val="a1"/>
    <w:next w:val="FirstParagraph"/>
    <w:link w:val="32"/>
    <w:uiPriority w:val="9"/>
    <w:qFormat/>
    <w:pPr>
      <w:keepNext/>
      <w:keepLines/>
      <w:numPr>
        <w:ilvl w:val="2"/>
        <w:numId w:val="1"/>
      </w:numPr>
      <w:spacing w:before="140" w:after="60" w:line="300" w:lineRule="auto"/>
      <w:ind w:firstLine="0"/>
      <w:jc w:val="left"/>
      <w:outlineLvl w:val="2"/>
    </w:pPr>
    <w:rPr>
      <w:rFonts w:ascii="Arial" w:eastAsia="黑体" w:hAnsi="Arial" w:cs="Arial"/>
      <w:b/>
      <w:color w:val="2F5F98"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FirstParagraph"/>
    <w:link w:val="ab"/>
    <w:uiPriority w:val="10"/>
    <w:qFormat/>
    <w:pPr>
      <w:spacing w:after="240" w:line="360" w:lineRule="auto"/>
      <w:ind w:firstLine="0"/>
      <w:jc w:val="center"/>
    </w:pPr>
    <w:rPr>
      <w:rFonts w:ascii="Arial" w:eastAsia="黑体" w:hAnsi="Arial" w:cs="Arial"/>
      <w:b/>
      <w:color w:val="1F2937"/>
      <w:sz w:val="36"/>
      <w:szCs w:val="36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line="276" w:lineRule="auto"/>
      <w:jc w:val="center"/>
    </w:pPr>
    <w:rPr>
      <w:rFonts w:asciiTheme="majorHAnsi" w:eastAsiaTheme="majorEastAsia" w:hAnsiTheme="majorHAnsi" w:cstheme="majorBidi"/>
      <w:iCs/>
      <w:color w:val="4F81BD" w:themeColor="accent1"/>
      <w:spacing w:val="15"/>
      <w:sz w:val="18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pPr>
      <w:spacing w:before="60" w:after="60" w:line="276" w:lineRule="auto"/>
      <w:ind w:left="420" w:right="420" w:firstLine="0"/>
    </w:pPr>
    <w:rPr>
      <w:iCs/>
      <w:color w:val="000000" w:themeColor="text1"/>
      <w:sz w:val="20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qFormat/>
    <w:pPr>
      <w:spacing w:before="40" w:after="40" w:line="240" w:lineRule="auto"/>
      <w:jc w:val="center"/>
    </w:pPr>
    <w:rPr>
      <w:rFonts w:ascii="Arial" w:eastAsia="宋体" w:hAnsi="Arial" w:cs="Arial"/>
      <w:i/>
      <w:color w:val="4B5563"/>
      <w:sz w:val="20"/>
      <w:szCs w:val="20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tblPr>
      <w:tblBorders>
        <w:top w:val="single" w:sz="6" w:space="0" w:color="B8C2CC"/>
        <w:left w:val="single" w:sz="6" w:space="0" w:color="B8C2CC"/>
        <w:bottom w:val="single" w:sz="6" w:space="0" w:color="B8C2CC"/>
        <w:right w:val="single" w:sz="6" w:space="0" w:color="B8C2CC"/>
        <w:insideH w:val="single" w:sz="6" w:space="0" w:color="D2D6DC"/>
        <w:insideV w:val="single" w:sz="6" w:space="0" w:color="D2D6DC"/>
      </w:tblBorders>
      <w:tblCellMar>
        <w:top w:w="60" w:type="dxa"/>
        <w:left w:w="120" w:type="dxa"/>
        <w:bottom w:w="60" w:type="dxa"/>
        <w:right w:w="120" w:type="dxa"/>
      </w:tblCellMar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a1"/>
    <w:next w:val="a1"/>
    <w:qFormat/>
    <w:pPr>
      <w:spacing w:after="60" w:line="300" w:lineRule="auto"/>
      <w:jc w:val="both"/>
    </w:pPr>
    <w:rPr>
      <w:rFonts w:ascii="Arial" w:eastAsia="宋体" w:hAnsi="Arial" w:cs="Arial"/>
      <w:color w:val="1F2937"/>
      <w:sz w:val="24"/>
      <w:szCs w:val="24"/>
    </w:rPr>
  </w:style>
  <w:style w:type="paragraph" w:customStyle="1" w:styleId="Compact">
    <w:name w:val="Compact"/>
    <w:basedOn w:val="a1"/>
    <w:qFormat/>
    <w:pPr>
      <w:spacing w:before="0" w:after="0" w:line="264" w:lineRule="auto"/>
      <w:jc w:val="left"/>
    </w:pPr>
    <w:rPr>
      <w:rFonts w:ascii="Arial" w:eastAsia="宋体" w:hAnsi="Arial" w:cs="Arial"/>
      <w:color w:val="1F2937"/>
      <w:sz w:val="22"/>
      <w:szCs w:val="22"/>
    </w:rPr>
  </w:style>
  <w:style w:type="paragraph" w:customStyle="1" w:styleId="Author">
    <w:name w:val="Author"/>
    <w:basedOn w:val="a1"/>
    <w:pPr>
      <w:spacing w:line="276" w:lineRule="auto"/>
      <w:ind w:firstLine="0"/>
      <w:jc w:val="center"/>
    </w:pPr>
    <w:rPr>
      <w:rFonts w:eastAsia="楷体"/>
    </w:rPr>
  </w:style>
  <w:style w:type="paragraph" w:customStyle="1" w:styleId="Affiliation">
    <w:name w:val="Affiliation"/>
    <w:basedOn w:val="a1"/>
    <w:pPr>
      <w:spacing w:line="276" w:lineRule="auto"/>
      <w:ind w:firstLine="0"/>
      <w:jc w:val="center"/>
    </w:pPr>
    <w:rPr>
      <w:sz w:val="18"/>
    </w:rPr>
  </w:style>
  <w:style w:type="paragraph" w:customStyle="1" w:styleId="14">
    <w:name w:val="日期1"/>
    <w:basedOn w:val="a1"/>
    <w:pPr>
      <w:spacing w:after="120" w:line="276" w:lineRule="auto"/>
      <w:ind w:firstLine="0"/>
      <w:jc w:val="center"/>
    </w:pPr>
    <w:rPr>
      <w:sz w:val="18"/>
    </w:rPr>
  </w:style>
  <w:style w:type="paragraph" w:customStyle="1" w:styleId="15">
    <w:name w:val="文本块1"/>
    <w:basedOn w:val="a1"/>
    <w:pPr>
      <w:spacing w:before="60" w:after="60" w:line="276" w:lineRule="auto"/>
      <w:ind w:left="420" w:right="420" w:firstLine="0"/>
    </w:pPr>
  </w:style>
  <w:style w:type="paragraph" w:customStyle="1" w:styleId="SourceCode">
    <w:name w:val="Source Code"/>
    <w:basedOn w:val="a1"/>
    <w:next w:val="a1"/>
    <w:link w:val="VerbatimChar"/>
    <w:pPr>
      <w:spacing w:before="40" w:after="80" w:line="252" w:lineRule="auto"/>
      <w:ind w:left="180" w:right="180"/>
      <w:shd w:val="clear" w:color="auto" w:fill="F5F7FA"/>
      <w:wordWrap w:val="off"/>
    </w:pPr>
    <w:rPr>
      <w:rFonts w:ascii="Consolas" w:eastAsia="等宽更纱黑体 SC" w:hAnsi="Consolas" w:cs="Consolas"/>
      <w:color w:val="1F2937"/>
      <w:sz w:val="20"/>
      <w:szCs w:val="20"/>
    </w:rPr>
  </w:style>
  <w:style w:type="paragraph" w:customStyle="1" w:styleId="AbstractTitle">
    <w:name w:val="AbstractTitle"/>
    <w:basedOn w:val="a1"/>
    <w:pPr>
      <w:ind w:firstLine="0"/>
    </w:pPr>
    <w:rPr>
      <w:rFonts w:eastAsia="楷体"/>
      <w:b/>
    </w:rPr>
  </w:style>
  <w:style w:type="paragraph" w:customStyle="1" w:styleId="Abstract">
    <w:name w:val="Abstract"/>
    <w:basedOn w:val="a1"/>
    <w:pPr>
      <w:ind w:firstLine="0"/>
    </w:pPr>
    <w:rPr>
      <w:rFonts w:eastAsia="楷体"/>
    </w:rPr>
  </w:style>
  <w:style w:type="paragraph" w:customStyle="1" w:styleId="BibliographyTitle">
    <w:name w:val="Bibliography Title"/>
    <w:basedOn w:val="1"/>
    <w:rPr>
      <w:rFonts w:ascii="Times New Roman" w:eastAsia="黑体" w:hAnsi="Times New Roman" w:cs="Times New Roman"/>
    </w:rPr>
  </w:style>
  <w:style w:type="paragraph" w:customStyle="1" w:styleId="16">
    <w:name w:val="书目1"/>
    <w:basedOn w:val="a1"/>
    <w:pPr>
      <w:ind w:left="420" w:hanging="420"/>
    </w:pPr>
  </w:style>
  <w:style w:type="paragraph" w:customStyle="1" w:styleId="AbstractBlock">
    <w:name w:val="AbstractBlock"/>
    <w:basedOn w:val="a1"/>
    <w:pPr>
      <w:ind w:firstLine="0"/>
    </w:pPr>
    <w:rPr>
      <w:rFonts w:eastAsia="楷体"/>
    </w:rPr>
  </w:style>
  <w:style w:type="paragraph" w:customStyle="1" w:styleId="KeywordsBlock">
    <w:name w:val="KeywordsBlock"/>
    <w:basedOn w:val="a1"/>
    <w:pPr>
      <w:ind w:firstLine="0"/>
    </w:pPr>
    <w:rPr>
      <w:rFonts w:eastAsia="楷体"/>
    </w:rPr>
  </w:style>
  <w:style w:type="paragraph" w:customStyle="1" w:styleId="MetaBlock">
    <w:name w:val="MetaBlock"/>
    <w:basedOn w:val="a1"/>
    <w:pPr>
      <w:ind w:firstLine="0"/>
    </w:pPr>
    <w:rPr>
      <w:rFonts w:eastAsia="楷体"/>
    </w:rPr>
  </w:style>
  <w:style w:type="paragraph" w:customStyle="1" w:styleId="AuthorIntroBlock">
    <w:name w:val="AuthorIntroBlock"/>
    <w:basedOn w:val="a1"/>
    <w:pPr>
      <w:ind w:firstLine="0"/>
    </w:pPr>
  </w:style>
  <w:style w:type="paragraph" w:customStyle="1" w:styleId="ReferencesBlock">
    <w:name w:val="ReferencesBlock"/>
    <w:basedOn w:val="a1"/>
    <w:pPr>
      <w:ind w:left="420" w:hanging="420"/>
    </w:pPr>
  </w:style>
  <w:style w:type="character" w:customStyle="1" w:styleId="VerbatimChar">
    <w:name w:val="Verbatim Char"/>
    <w:basedOn w:val="a2"/>
    <w:rPr>
      <w:rFonts w:ascii="Consolas" w:eastAsia="等宽更纱黑体 SC" w:hAnsi="Consolas" w:cs="Consolas"/>
      <w:color w:val="1F2937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wen zhang</cp:lastModifiedBy>
  <cp:revision>2</cp:revision>
  <dcterms:created xsi:type="dcterms:W3CDTF">2013-12-23T23:15:00Z</dcterms:created>
  <dcterms:modified xsi:type="dcterms:W3CDTF">2026-04-27T02:03:00Z</dcterms:modified>
  <cp:category/>
</cp:coreProperties>
</file>