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D876" w14:textId="77777777" w:rsidR="00AD56CE" w:rsidRDefault="00AD56CE">
      <w:pPr>
        <w:pStyle w:val="Text"/>
        <w:ind w:firstLine="0"/>
        <w:rPr>
          <w:sz w:val="18"/>
          <w:szCs w:val="18"/>
        </w:rPr>
      </w:pPr>
      <w:r>
        <w:rPr>
          <w:sz w:val="18"/>
          <w:szCs w:val="18"/>
        </w:rPr>
        <w:footnoteReference w:customMarkFollows="1" w:id="1"/>
        <w:sym w:font="Symbol" w:char="F020"/>
      </w:r>
    </w:p>
    <w:p w14:paraId="46D1E642" w14:textId="77777777" w:rsidR="00AD56CE" w:rsidRDefault="00AD56CE">
      <w:pPr>
        <w:pStyle w:val="a7"/>
        <w:framePr w:wrap="notBeside"/>
        <w:rPr>
          <w:szCs w:val="40"/>
        </w:rPr>
      </w:pPr>
      <w:r>
        <w:rPr>
          <w:szCs w:val="40"/>
        </w:rPr>
        <w:t xml:space="preserve">Preparation of Papers for </w:t>
      </w:r>
      <w:r>
        <w:rPr>
          <w:rFonts w:eastAsia="宋体"/>
          <w:szCs w:val="40"/>
          <w:lang w:eastAsia="zh-CN"/>
        </w:rPr>
        <w:t>International Journal of Machine Learning and Computing</w:t>
      </w:r>
      <w:r>
        <w:rPr>
          <w:szCs w:val="40"/>
        </w:rPr>
        <w:t xml:space="preserve"> (</w:t>
      </w:r>
      <w:r>
        <w:rPr>
          <w:rFonts w:eastAsia="宋体" w:hint="eastAsia"/>
          <w:szCs w:val="40"/>
          <w:lang w:eastAsia="zh-CN"/>
        </w:rPr>
        <w:t>IJMLC</w:t>
      </w:r>
      <w:r>
        <w:rPr>
          <w:szCs w:val="40"/>
        </w:rPr>
        <w:t>)</w:t>
      </w:r>
    </w:p>
    <w:p w14:paraId="7D7B3F13" w14:textId="77777777" w:rsidR="00AD56CE" w:rsidRDefault="00AD56CE">
      <w:pPr>
        <w:pStyle w:val="Authors"/>
        <w:framePr w:wrap="notBeside"/>
        <w:rPr>
          <w:rFonts w:eastAsia="宋体" w:hint="eastAsia"/>
          <w:lang w:eastAsia="zh-CN"/>
        </w:rPr>
      </w:pPr>
      <w:r>
        <w:t>First A. Author, Second B. Author</w:t>
      </w:r>
      <w:r>
        <w:rPr>
          <w:rFonts w:eastAsia="宋体" w:hint="eastAsia"/>
          <w:lang w:eastAsia="zh-CN"/>
        </w:rPr>
        <w:t xml:space="preserve">, </w:t>
      </w:r>
      <w:r>
        <w:t>and Third C. Author</w:t>
      </w:r>
    </w:p>
    <w:p w14:paraId="7C2FB894" w14:textId="77777777" w:rsidR="00AD56CE" w:rsidRDefault="00AD56CE">
      <w:pPr>
        <w:pStyle w:val="Abstract"/>
      </w:pPr>
      <w:r>
        <w:rPr>
          <w:i/>
          <w:iCs/>
        </w:rPr>
        <w:t>Abstract</w:t>
      </w:r>
      <w:r>
        <w:t>—These instructions give you guidelines for preparing papers for</w:t>
      </w:r>
      <w:r>
        <w:rPr>
          <w:rFonts w:hint="eastAsia"/>
          <w:lang w:eastAsia="zh-TW"/>
        </w:rPr>
        <w:t xml:space="preserve"> th</w:t>
      </w:r>
      <w:r>
        <w:rPr>
          <w:rFonts w:hint="eastAsia"/>
        </w:rPr>
        <w:t xml:space="preserve">e </w:t>
      </w:r>
      <w:r>
        <w:t>International Journal of Machine Learning and Computing</w:t>
      </w:r>
      <w:r>
        <w:rPr>
          <w:rFonts w:hint="eastAsia"/>
        </w:rPr>
        <w:t xml:space="preserve"> (IJMLC)</w:t>
      </w:r>
      <w:r>
        <w:t>. Use this document as a template if you are using Microsoft Word 6.0 or later. Otherwise, use this document as an instruction set. The electronic file of your paper will be formatted further at International Journal of Machine Learning and Computing. Define all symbols used in the abstract. Do not cite references in the abstract. Do not delete the blank line immediately above the abstract; it sets the footnote at the bottom of this column.</w:t>
      </w:r>
    </w:p>
    <w:p w14:paraId="4DC90F8F" w14:textId="77777777" w:rsidR="00AD56CE" w:rsidRDefault="00AD56CE"/>
    <w:p w14:paraId="3566BC4A" w14:textId="77777777" w:rsidR="00AD56CE" w:rsidRDefault="00AD56CE">
      <w:pPr>
        <w:pStyle w:val="IndexTerms"/>
      </w:pPr>
      <w:bookmarkStart w:id="0" w:name="OLE_LINK1"/>
      <w:bookmarkStart w:id="1" w:name="OLE_LINK2"/>
      <w:bookmarkStart w:id="2" w:name="OLE_LINK5"/>
      <w:bookmarkStart w:id="3" w:name="PointTmp"/>
      <w:r>
        <w:rPr>
          <w:i/>
          <w:iCs/>
        </w:rPr>
        <w:t>Index Terms</w:t>
      </w:r>
      <w:r>
        <w:t>—</w:t>
      </w:r>
      <w:bookmarkEnd w:id="0"/>
      <w:bookmarkEnd w:id="1"/>
      <w:bookmarkEnd w:id="2"/>
      <w:r>
        <w:t xml:space="preserve">About four key words or phrases in alphabetical order, separated by commas. </w:t>
      </w:r>
    </w:p>
    <w:p w14:paraId="41522678" w14:textId="77777777" w:rsidR="00AD56CE" w:rsidRDefault="00AD56CE"/>
    <w:bookmarkEnd w:id="3"/>
    <w:p w14:paraId="079A9D4B" w14:textId="77777777" w:rsidR="00AD56CE" w:rsidRDefault="00AD56CE">
      <w:pPr>
        <w:pStyle w:val="1"/>
      </w:pPr>
      <w:r>
        <w:t>Introduction</w:t>
      </w:r>
    </w:p>
    <w:p w14:paraId="5190F59A" w14:textId="77777777" w:rsidR="00AD56CE" w:rsidRDefault="00AD56CE">
      <w:pPr>
        <w:pStyle w:val="Text"/>
      </w:pPr>
      <w:r>
        <w:t xml:space="preserve">Highlight a section that you want to designate with a certain style, then select the appropriate name on the style menu. The style will adjust your fonts and line spacing. </w:t>
      </w:r>
      <w:r>
        <w:rPr>
          <w:b/>
          <w:bCs/>
        </w:rPr>
        <w:t xml:space="preserve">Do not change the font sizes or line spacing to squeeze more text into a limited number of pages. </w:t>
      </w:r>
      <w:r>
        <w:t xml:space="preserve">Use italics for emphasis; do not underline. </w:t>
      </w:r>
    </w:p>
    <w:p w14:paraId="412AE6FE" w14:textId="77777777" w:rsidR="00AD56CE" w:rsidRDefault="00AD56CE">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25EC7425" w14:textId="77777777" w:rsidR="00AD56CE" w:rsidRDefault="00AD56CE">
      <w:pPr>
        <w:pStyle w:val="Text"/>
        <w:rPr>
          <w:rFonts w:hint="eastAsia"/>
          <w:lang w:eastAsia="zh-TW"/>
        </w:rPr>
      </w:pPr>
      <w:r>
        <w:t xml:space="preserve">INTERNATIONAL JOURNAL OF MACHINE LEARNING AND COMPUTING </w:t>
      </w:r>
      <w:r>
        <w:rPr>
          <w:rFonts w:hint="eastAsia"/>
        </w:rPr>
        <w:t>reserves</w:t>
      </w:r>
      <w:r>
        <w:rPr>
          <w:rFonts w:hint="eastAsia"/>
          <w:lang w:eastAsia="zh-TW"/>
        </w:rPr>
        <w:t xml:space="preserve"> the right to</w:t>
      </w:r>
      <w:r>
        <w:t xml:space="preserve"> do the final formatting of your paper.</w:t>
      </w:r>
    </w:p>
    <w:p w14:paraId="7B30690F" w14:textId="77777777" w:rsidR="00AD56CE" w:rsidRDefault="00AD56CE">
      <w:pPr>
        <w:pStyle w:val="Text"/>
      </w:pPr>
    </w:p>
    <w:p w14:paraId="0B3B5871" w14:textId="77777777" w:rsidR="00AD56CE" w:rsidRDefault="00AD56CE">
      <w:pPr>
        <w:pStyle w:val="1"/>
      </w:pPr>
      <w:r>
        <w:t>Procedure for Paper Submission</w:t>
      </w:r>
    </w:p>
    <w:p w14:paraId="7EBCA16B" w14:textId="77777777" w:rsidR="00AD56CE" w:rsidRDefault="00AD56CE">
      <w:pPr>
        <w:pStyle w:val="2"/>
      </w:pPr>
      <w:r>
        <w:t>Review Stage</w:t>
      </w:r>
    </w:p>
    <w:p w14:paraId="258972D2" w14:textId="77777777" w:rsidR="00AD56CE" w:rsidRDefault="00AD56CE">
      <w:pPr>
        <w:pStyle w:val="Text"/>
      </w:pPr>
      <w:r>
        <w:rPr>
          <w:rFonts w:hint="eastAsia"/>
          <w:lang w:eastAsia="zh-TW"/>
        </w:rPr>
        <w:t>S</w:t>
      </w:r>
      <w:r>
        <w:t xml:space="preserve">ubmit your manuscript electronically for review. </w:t>
      </w:r>
    </w:p>
    <w:p w14:paraId="250699F6" w14:textId="77777777" w:rsidR="00AD56CE" w:rsidRDefault="00AD56CE" w:rsidP="005D5B15">
      <w:pPr>
        <w:pStyle w:val="4"/>
      </w:pPr>
      <w:r>
        <w:t>Final Stage</w:t>
      </w:r>
    </w:p>
    <w:p w14:paraId="094D4AA3" w14:textId="77777777" w:rsidR="00AD56CE" w:rsidRDefault="00AD56CE">
      <w:pPr>
        <w:pStyle w:val="Text"/>
        <w:rPr>
          <w:rFonts w:hint="eastAsia"/>
          <w:lang w:eastAsia="zh-TW"/>
        </w:rPr>
      </w:pPr>
      <w:r>
        <w:t xml:space="preserve">When you submit your final version, after your paper has been accepted, </w:t>
      </w:r>
      <w:r>
        <w:rPr>
          <w:rFonts w:hint="eastAsia"/>
          <w:lang w:eastAsia="zh-TW"/>
        </w:rPr>
        <w:t>prepare</w:t>
      </w:r>
      <w:r>
        <w:t xml:space="preserve"> it in two-column format, including figures and tables. </w:t>
      </w:r>
    </w:p>
    <w:p w14:paraId="753501A3" w14:textId="77777777" w:rsidR="00AD56CE" w:rsidRDefault="00AD56CE">
      <w:pPr>
        <w:pStyle w:val="2"/>
      </w:pPr>
      <w:r>
        <w:t>Figures</w:t>
      </w:r>
    </w:p>
    <w:p w14:paraId="0D8CD3C9" w14:textId="77777777" w:rsidR="00AD56CE" w:rsidRDefault="00AD56CE">
      <w:pPr>
        <w:pStyle w:val="Text"/>
      </w:pPr>
      <w:r>
        <w:rPr>
          <w:rFonts w:hint="eastAsia"/>
        </w:rPr>
        <w:t>As said, t</w:t>
      </w:r>
      <w:r>
        <w:t>o insert images in Word, position the cursor at the insertion point and either use Insert | Picture | From File or copy the image to the Windows clipboard and then Edit | Paste Special | Picture (with “Float over text” unchecked).</w:t>
      </w:r>
    </w:p>
    <w:p w14:paraId="6EA58C60" w14:textId="77777777" w:rsidR="00AD56CE" w:rsidRDefault="00AD56CE">
      <w:pPr>
        <w:pStyle w:val="Text"/>
        <w:rPr>
          <w:rFonts w:hint="eastAsia"/>
        </w:rPr>
      </w:pPr>
      <w:r>
        <w:rPr>
          <w:rFonts w:hint="eastAsia"/>
        </w:rPr>
        <w:t>The authors of the accepted manuscripts will be given a</w:t>
      </w:r>
      <w:r>
        <w:t xml:space="preserve"> copyright form </w:t>
      </w:r>
      <w:r>
        <w:rPr>
          <w:rFonts w:hint="eastAsia"/>
        </w:rPr>
        <w:t xml:space="preserve">and the form </w:t>
      </w:r>
      <w:r>
        <w:t>should accompany your final submission.</w:t>
      </w:r>
    </w:p>
    <w:p w14:paraId="60072E38" w14:textId="77777777" w:rsidR="00AD56CE" w:rsidRDefault="00AD56CE">
      <w:pPr>
        <w:pStyle w:val="3"/>
        <w:numPr>
          <w:ilvl w:val="0"/>
          <w:numId w:val="0"/>
        </w:numPr>
        <w:ind w:left="232"/>
        <w:rPr>
          <w:rFonts w:hint="eastAsia"/>
        </w:rPr>
      </w:pPr>
    </w:p>
    <w:p w14:paraId="0E84F130" w14:textId="77777777" w:rsidR="00AD56CE" w:rsidRDefault="00AD56CE">
      <w:pPr>
        <w:pStyle w:val="1"/>
      </w:pPr>
      <w:r>
        <w:t>Math</w:t>
      </w:r>
    </w:p>
    <w:p w14:paraId="1D2585EC" w14:textId="77777777" w:rsidR="00AD56CE" w:rsidRDefault="00AD56CE">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438F6D26" w14:textId="77777777" w:rsidR="00AD56CE" w:rsidRDefault="00AD56CE">
      <w:pPr>
        <w:pStyle w:val="Text"/>
      </w:pPr>
    </w:p>
    <w:p w14:paraId="705B3068" w14:textId="77777777" w:rsidR="00AD56CE" w:rsidRDefault="00AD56CE">
      <w:pPr>
        <w:pStyle w:val="1"/>
      </w:pPr>
      <w:r>
        <w:t>Units</w:t>
      </w:r>
    </w:p>
    <w:p w14:paraId="755CEB4E" w14:textId="77777777" w:rsidR="00AD56CE" w:rsidRDefault="00AD56CE">
      <w:pPr>
        <w:pStyle w:val="Text"/>
      </w:pPr>
      <w:r>
        <w:t xml:space="preserve">Use either SI (MKS) or CGS as primary units. (SI units are strongly encouraged.) English units may be used as secondary units (in parentheses). </w:t>
      </w:r>
      <w:r>
        <w:rPr>
          <w:b/>
          <w:bCs/>
        </w:rPr>
        <w:t>This applies to papers in data storage.</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08BC1456" w14:textId="77777777" w:rsidR="00AD56CE" w:rsidRDefault="00AD56CE">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3264EA9B" w14:textId="77777777" w:rsidR="00AD56CE" w:rsidRDefault="00AD56CE">
      <w:pPr>
        <w:pStyle w:val="Text"/>
      </w:pPr>
    </w:p>
    <w:p w14:paraId="6488FB19" w14:textId="77777777" w:rsidR="00AD56CE" w:rsidRDefault="00AD56CE">
      <w:pPr>
        <w:pStyle w:val="1"/>
      </w:pPr>
      <w:r>
        <w:t>Helpful Hints</w:t>
      </w:r>
    </w:p>
    <w:p w14:paraId="7615D029" w14:textId="77777777" w:rsidR="00AD56CE" w:rsidRDefault="00AD56CE">
      <w:pPr>
        <w:pStyle w:val="2"/>
      </w:pPr>
      <w:r>
        <w:t>Figures and Tables</w:t>
      </w:r>
    </w:p>
    <w:p w14:paraId="3DDFAC2E" w14:textId="77777777" w:rsidR="00AD56CE" w:rsidRDefault="00AD56CE">
      <w:pPr>
        <w:pStyle w:val="Text"/>
      </w:pPr>
      <w:r>
        <w:t>Because the final formatting of your paper</w:t>
      </w:r>
      <w:r>
        <w:rPr>
          <w:rFonts w:hint="eastAsia"/>
          <w:lang w:eastAsia="zh-TW"/>
        </w:rPr>
        <w:t xml:space="preserve"> is limited in scale</w:t>
      </w:r>
      <w:r>
        <w:t xml:space="preserve">, you need to position figures and tables at the top and bottom of each column.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Pr>
          <w:b/>
          <w:bCs/>
        </w:rPr>
        <w:t xml:space="preserve">Do not put borders around the outside of your figures. </w:t>
      </w:r>
      <w:r>
        <w:t xml:space="preserve">Use the abbreviation “Fig.” even at the beginning of a sentence. Do not abbreviate “Table.” Tables are numbered with Roman numerals. </w:t>
      </w:r>
    </w:p>
    <w:p w14:paraId="48DD4125" w14:textId="77777777" w:rsidR="00AD56CE" w:rsidRDefault="00AD56CE">
      <w:pPr>
        <w:pStyle w:val="Text"/>
      </w:pPr>
      <w:r>
        <w:lastRenderedPageBreak/>
        <w:t xml:space="preserve">Include a note with your final paper indicating that you request color printing. </w:t>
      </w:r>
      <w:r>
        <w:rPr>
          <w:b/>
          <w:bCs/>
        </w:rPr>
        <w:t>Do not</w:t>
      </w:r>
      <w:r>
        <w:rPr>
          <w:rFonts w:eastAsia="宋体" w:hint="eastAsia"/>
          <w:b/>
          <w:bCs/>
          <w:lang w:eastAsia="zh-CN"/>
        </w:rPr>
        <w:t xml:space="preserve"> </w:t>
      </w:r>
      <w:r>
        <w:rPr>
          <w:b/>
          <w:bCs/>
        </w:rPr>
        <w:t>use color unless it is necessary for the proper interpretation of your figures.</w:t>
      </w:r>
      <w:r>
        <w:t xml:space="preserve"> </w:t>
      </w:r>
    </w:p>
    <w:p w14:paraId="6B18F983" w14:textId="77777777" w:rsidR="00AD56CE" w:rsidRDefault="00AD56CE">
      <w:pPr>
        <w:pStyle w:val="Text"/>
      </w:pPr>
      <w:r>
        <w:t xml:space="preserve">Figure axis labels are often a source of confusion. Use words rather than symbols. As an example, write the quantity “Magnetization,” or “Magnetization </w:t>
      </w:r>
      <w:r>
        <w:rPr>
          <w:i/>
          <w:iCs/>
        </w:rPr>
        <w:t>M</w:t>
      </w:r>
      <w:r>
        <w:t>,” not just “</w:t>
      </w:r>
      <w:r>
        <w:rPr>
          <w:i/>
          <w:iCs/>
        </w:rPr>
        <w:t>M</w:t>
      </w:r>
      <w:r>
        <w:t>.” Put units in parentheses. Do not label axes only with units. As in Fig. 1, for example, write “Magnetization (A/m)” or “Magnetization (A</w:t>
      </w:r>
      <w:r>
        <w:rPr>
          <w:position w:val="-2"/>
        </w:rPr>
        <w:object w:dxaOrig="99" w:dyaOrig="1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4.9pt;height:6pt;mso-position-horizontal-relative:page;mso-position-vertical-relative:page" o:ole="" fillcolor="#6d6d6d">
            <v:imagedata r:id="rId7" o:title=""/>
          </v:shape>
          <o:OLEObject Type="Embed" ProgID="Unknown" ShapeID="对象 1" DrawAspect="Content" ObjectID="_1838101620" r:id="rId8"/>
        </w:object>
      </w:r>
      <w:r>
        <w:t>m</w:t>
      </w:r>
      <w:r>
        <w:rPr>
          <w:vertAlign w:val="superscript"/>
        </w:rPr>
        <w:sym w:font="Symbol" w:char="F02D"/>
      </w:r>
      <w:r>
        <w:rPr>
          <w:vertAlign w:val="superscript"/>
        </w:rPr>
        <w:t>1</w:t>
      </w:r>
      <w:r>
        <w:t xml:space="preserve">),” not just “A/m.” Do not label axes with a ratio of quantities and units. For example, write “Temperature (K),” not “Temperature/K.” </w:t>
      </w:r>
    </w:p>
    <w:p w14:paraId="382904F6" w14:textId="77777777" w:rsidR="00AD56CE" w:rsidRDefault="00AD56CE">
      <w:pPr>
        <w:pStyle w:val="Text"/>
        <w:rPr>
          <w:rFonts w:eastAsia="宋体" w:hint="eastAsia"/>
          <w:lang w:eastAsia="zh-CN"/>
        </w:rPr>
      </w:pPr>
      <w:r>
        <w:t>Multipliers can be especially confusing. Write “Magnetization (kA/m)” or “Magnetization (10</w:t>
      </w:r>
      <w:r>
        <w:rPr>
          <w:vertAlign w:val="superscript"/>
        </w:rPr>
        <w:t>3</w:t>
      </w:r>
      <w:r>
        <w:t xml:space="preserve"> A/m).” Do not write “Magnetization (A/m) </w:t>
      </w:r>
      <w:r>
        <w:sym w:font="Symbol" w:char="F0B4"/>
      </w:r>
      <w:r>
        <w:t xml:space="preserve"> 1000” because the reader would not know whether the top axis label in Fig. 1 meant 16000 A/m or 0.016 A/m. Figure labels should be legible, approximately 8 to 12 point type.</w:t>
      </w:r>
    </w:p>
    <w:p w14:paraId="18B01A46" w14:textId="77777777" w:rsidR="00AD56CE" w:rsidRDefault="00AD56CE">
      <w:pPr>
        <w:pStyle w:val="Text"/>
        <w:rPr>
          <w:rFonts w:eastAsia="宋体" w:hint="eastAsia"/>
          <w:lang w:eastAsia="zh-CN"/>
        </w:rPr>
      </w:pPr>
    </w:p>
    <w:p w14:paraId="36ECBF27" w14:textId="77777777" w:rsidR="00AD56CE" w:rsidRDefault="00AD56CE">
      <w:pPr>
        <w:pStyle w:val="TableTitle"/>
        <w:rPr>
          <w:rFonts w:hint="eastAsia"/>
        </w:rPr>
      </w:pPr>
      <w:r>
        <w:t xml:space="preserve">TABLE </w:t>
      </w:r>
      <w:r>
        <w:rPr>
          <w:rFonts w:eastAsia="宋体" w:hint="eastAsia"/>
          <w:lang w:eastAsia="zh-CN"/>
        </w:rPr>
        <w:t>I</w:t>
      </w:r>
      <w:r>
        <w:rPr>
          <w:rFonts w:hint="eastAsia"/>
        </w:rPr>
        <w:t>: T</w:t>
      </w:r>
      <w:r>
        <w:t>he</w:t>
      </w:r>
      <w:r>
        <w:rPr>
          <w:rFonts w:hint="eastAsia"/>
        </w:rPr>
        <w:t xml:space="preserve"> </w:t>
      </w:r>
      <w:r>
        <w:t xml:space="preserve">Arrangement </w:t>
      </w:r>
      <w:r>
        <w:rPr>
          <w:rFonts w:hint="eastAsia"/>
        </w:rPr>
        <w:t xml:space="preserve">of </w:t>
      </w:r>
      <w:r>
        <w:t>Channels</w:t>
      </w:r>
    </w:p>
    <w:tbl>
      <w:tblPr>
        <w:tblW w:w="49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992"/>
        <w:gridCol w:w="992"/>
        <w:gridCol w:w="567"/>
        <w:gridCol w:w="993"/>
      </w:tblGrid>
      <w:tr w:rsidR="00AD56CE" w14:paraId="11626B23" w14:textId="77777777">
        <w:trPr>
          <w:cantSplit/>
          <w:trHeight w:val="191"/>
        </w:trPr>
        <w:tc>
          <w:tcPr>
            <w:tcW w:w="1418" w:type="dxa"/>
            <w:tcBorders>
              <w:top w:val="double" w:sz="4" w:space="0" w:color="auto"/>
              <w:left w:val="nil"/>
              <w:bottom w:val="single" w:sz="4" w:space="0" w:color="auto"/>
              <w:right w:val="nil"/>
            </w:tcBorders>
            <w:vAlign w:val="center"/>
          </w:tcPr>
          <w:p w14:paraId="336E1F33" w14:textId="77777777" w:rsidR="00AD56CE" w:rsidRDefault="00AD56CE">
            <w:pPr>
              <w:spacing w:beforeLines="20" w:before="48" w:line="264" w:lineRule="auto"/>
              <w:ind w:leftChars="-8" w:left="-2" w:hangingChars="9" w:hanging="14"/>
              <w:rPr>
                <w:rFonts w:hint="eastAsia"/>
                <w:sz w:val="16"/>
              </w:rPr>
            </w:pPr>
            <w:r>
              <w:rPr>
                <w:sz w:val="16"/>
              </w:rPr>
              <w:t>Channels</w:t>
            </w:r>
          </w:p>
        </w:tc>
        <w:tc>
          <w:tcPr>
            <w:tcW w:w="992" w:type="dxa"/>
            <w:tcBorders>
              <w:top w:val="double" w:sz="4" w:space="0" w:color="auto"/>
              <w:left w:val="nil"/>
              <w:bottom w:val="single" w:sz="4" w:space="0" w:color="auto"/>
              <w:right w:val="nil"/>
            </w:tcBorders>
            <w:vAlign w:val="center"/>
          </w:tcPr>
          <w:p w14:paraId="22AFADD0" w14:textId="77777777" w:rsidR="00AD56CE" w:rsidRDefault="00AD56CE">
            <w:pPr>
              <w:spacing w:beforeLines="20" w:before="48" w:line="264" w:lineRule="auto"/>
              <w:rPr>
                <w:rFonts w:hint="eastAsia"/>
                <w:sz w:val="16"/>
              </w:rPr>
            </w:pPr>
            <w:r>
              <w:rPr>
                <w:rFonts w:hint="eastAsia"/>
                <w:sz w:val="16"/>
              </w:rPr>
              <w:t>Group 1</w:t>
            </w:r>
          </w:p>
        </w:tc>
        <w:tc>
          <w:tcPr>
            <w:tcW w:w="992" w:type="dxa"/>
            <w:tcBorders>
              <w:top w:val="double" w:sz="4" w:space="0" w:color="auto"/>
              <w:left w:val="nil"/>
              <w:bottom w:val="single" w:sz="4" w:space="0" w:color="auto"/>
              <w:right w:val="nil"/>
            </w:tcBorders>
            <w:vAlign w:val="center"/>
          </w:tcPr>
          <w:p w14:paraId="48ABC693" w14:textId="77777777" w:rsidR="00AD56CE" w:rsidRDefault="00AD56CE">
            <w:pPr>
              <w:spacing w:beforeLines="20" w:before="48" w:line="264" w:lineRule="auto"/>
              <w:rPr>
                <w:rFonts w:hint="eastAsia"/>
                <w:sz w:val="16"/>
              </w:rPr>
            </w:pPr>
            <w:r>
              <w:rPr>
                <w:rFonts w:hint="eastAsia"/>
                <w:sz w:val="16"/>
              </w:rPr>
              <w:t>Group 2</w:t>
            </w:r>
          </w:p>
        </w:tc>
        <w:tc>
          <w:tcPr>
            <w:tcW w:w="567" w:type="dxa"/>
            <w:tcBorders>
              <w:top w:val="double" w:sz="4" w:space="0" w:color="auto"/>
              <w:left w:val="nil"/>
              <w:bottom w:val="single" w:sz="4" w:space="0" w:color="auto"/>
              <w:right w:val="nil"/>
            </w:tcBorders>
            <w:vAlign w:val="center"/>
          </w:tcPr>
          <w:p w14:paraId="00EDD038" w14:textId="77777777" w:rsidR="00AD56CE" w:rsidRDefault="00AD56CE">
            <w:pPr>
              <w:spacing w:beforeLines="20" w:before="48" w:line="264" w:lineRule="auto"/>
              <w:rPr>
                <w:rFonts w:hint="eastAsia"/>
                <w:sz w:val="16"/>
              </w:rPr>
            </w:pPr>
            <w:r>
              <w:rPr>
                <w:rFonts w:hint="eastAsia"/>
                <w:sz w:val="16"/>
              </w:rPr>
              <w:t>…</w:t>
            </w:r>
          </w:p>
        </w:tc>
        <w:tc>
          <w:tcPr>
            <w:tcW w:w="993" w:type="dxa"/>
            <w:tcBorders>
              <w:top w:val="double" w:sz="4" w:space="0" w:color="auto"/>
              <w:left w:val="nil"/>
              <w:bottom w:val="single" w:sz="4" w:space="0" w:color="auto"/>
              <w:right w:val="nil"/>
            </w:tcBorders>
            <w:vAlign w:val="center"/>
          </w:tcPr>
          <w:p w14:paraId="3E59AD84" w14:textId="77777777" w:rsidR="00AD56CE" w:rsidRDefault="00AD56CE">
            <w:pPr>
              <w:spacing w:beforeLines="20" w:before="48" w:line="264" w:lineRule="auto"/>
              <w:rPr>
                <w:rFonts w:hint="eastAsia"/>
                <w:sz w:val="16"/>
              </w:rPr>
            </w:pPr>
            <w:r>
              <w:rPr>
                <w:rFonts w:hint="eastAsia"/>
                <w:sz w:val="16"/>
              </w:rPr>
              <w:t xml:space="preserve">Group </w:t>
            </w:r>
            <w:r>
              <w:rPr>
                <w:rFonts w:hint="eastAsia"/>
                <w:i/>
                <w:sz w:val="16"/>
              </w:rPr>
              <w:t>c</w:t>
            </w:r>
          </w:p>
        </w:tc>
      </w:tr>
      <w:tr w:rsidR="00AD56CE" w14:paraId="3ADA1279" w14:textId="77777777">
        <w:trPr>
          <w:cantSplit/>
          <w:trHeight w:val="125"/>
        </w:trPr>
        <w:tc>
          <w:tcPr>
            <w:tcW w:w="1418" w:type="dxa"/>
            <w:tcBorders>
              <w:top w:val="single" w:sz="4" w:space="0" w:color="auto"/>
              <w:left w:val="nil"/>
              <w:bottom w:val="nil"/>
              <w:right w:val="nil"/>
            </w:tcBorders>
            <w:vAlign w:val="center"/>
          </w:tcPr>
          <w:p w14:paraId="07B4D5EA" w14:textId="77777777" w:rsidR="00AD56CE" w:rsidRDefault="00AD56CE">
            <w:pPr>
              <w:spacing w:line="264" w:lineRule="auto"/>
              <w:ind w:leftChars="-8" w:left="-2" w:hangingChars="9" w:hanging="14"/>
              <w:rPr>
                <w:rFonts w:hint="eastAsia"/>
                <w:sz w:val="16"/>
              </w:rPr>
            </w:pPr>
            <w:r>
              <w:rPr>
                <w:rFonts w:hint="eastAsia"/>
                <w:sz w:val="16"/>
              </w:rPr>
              <w:t>Main channel</w:t>
            </w:r>
          </w:p>
        </w:tc>
        <w:tc>
          <w:tcPr>
            <w:tcW w:w="992" w:type="dxa"/>
            <w:tcBorders>
              <w:top w:val="single" w:sz="4" w:space="0" w:color="auto"/>
              <w:left w:val="nil"/>
              <w:bottom w:val="nil"/>
              <w:right w:val="nil"/>
            </w:tcBorders>
            <w:vAlign w:val="center"/>
          </w:tcPr>
          <w:p w14:paraId="3F7F2E53" w14:textId="77777777" w:rsidR="00AD56CE" w:rsidRDefault="00AD56CE">
            <w:pPr>
              <w:spacing w:line="264" w:lineRule="auto"/>
              <w:rPr>
                <w:rFonts w:hint="eastAsia"/>
                <w:sz w:val="16"/>
              </w:rPr>
            </w:pPr>
            <w:r>
              <w:rPr>
                <w:rFonts w:hint="eastAsia"/>
                <w:sz w:val="16"/>
              </w:rPr>
              <w:t>Channel 1</w:t>
            </w:r>
          </w:p>
        </w:tc>
        <w:tc>
          <w:tcPr>
            <w:tcW w:w="992" w:type="dxa"/>
            <w:tcBorders>
              <w:top w:val="single" w:sz="4" w:space="0" w:color="auto"/>
              <w:left w:val="nil"/>
              <w:bottom w:val="nil"/>
              <w:right w:val="nil"/>
            </w:tcBorders>
            <w:vAlign w:val="center"/>
          </w:tcPr>
          <w:p w14:paraId="0D210876" w14:textId="77777777" w:rsidR="00AD56CE" w:rsidRDefault="00AD56CE">
            <w:pPr>
              <w:rPr>
                <w:rFonts w:hint="eastAsia"/>
                <w:sz w:val="16"/>
                <w:lang w:eastAsia="zh-CN"/>
              </w:rPr>
            </w:pPr>
            <w:r>
              <w:rPr>
                <w:rFonts w:hint="eastAsia"/>
                <w:sz w:val="16"/>
                <w:lang w:eastAsia="zh-CN"/>
              </w:rPr>
              <w:t>Channel 2</w:t>
            </w:r>
          </w:p>
        </w:tc>
        <w:tc>
          <w:tcPr>
            <w:tcW w:w="567" w:type="dxa"/>
            <w:tcBorders>
              <w:top w:val="single" w:sz="4" w:space="0" w:color="auto"/>
              <w:left w:val="nil"/>
              <w:bottom w:val="nil"/>
              <w:right w:val="nil"/>
            </w:tcBorders>
            <w:vAlign w:val="center"/>
          </w:tcPr>
          <w:p w14:paraId="474E5655" w14:textId="77777777" w:rsidR="00AD56CE" w:rsidRDefault="00AD56CE">
            <w:pPr>
              <w:spacing w:line="264" w:lineRule="auto"/>
              <w:rPr>
                <w:rFonts w:hint="eastAsia"/>
                <w:sz w:val="16"/>
              </w:rPr>
            </w:pPr>
            <w:r>
              <w:rPr>
                <w:rFonts w:hint="eastAsia"/>
                <w:sz w:val="16"/>
              </w:rPr>
              <w:t>…</w:t>
            </w:r>
          </w:p>
        </w:tc>
        <w:tc>
          <w:tcPr>
            <w:tcW w:w="993" w:type="dxa"/>
            <w:tcBorders>
              <w:top w:val="single" w:sz="4" w:space="0" w:color="auto"/>
              <w:left w:val="nil"/>
              <w:bottom w:val="nil"/>
              <w:right w:val="nil"/>
            </w:tcBorders>
            <w:vAlign w:val="center"/>
          </w:tcPr>
          <w:p w14:paraId="2352CEF3" w14:textId="77777777" w:rsidR="00AD56CE" w:rsidRDefault="00AD56CE">
            <w:pPr>
              <w:spacing w:line="264" w:lineRule="auto"/>
              <w:rPr>
                <w:rFonts w:hint="eastAsia"/>
                <w:sz w:val="16"/>
              </w:rPr>
            </w:pPr>
            <w:r>
              <w:rPr>
                <w:rFonts w:hint="eastAsia"/>
                <w:sz w:val="16"/>
              </w:rPr>
              <w:t xml:space="preserve">Channel </w:t>
            </w:r>
            <w:r>
              <w:rPr>
                <w:rFonts w:hint="eastAsia"/>
                <w:i/>
                <w:sz w:val="16"/>
              </w:rPr>
              <w:t>c</w:t>
            </w:r>
          </w:p>
        </w:tc>
      </w:tr>
      <w:tr w:rsidR="00AD56CE" w14:paraId="0FAC455F" w14:textId="77777777">
        <w:trPr>
          <w:cantSplit/>
          <w:trHeight w:val="227"/>
        </w:trPr>
        <w:tc>
          <w:tcPr>
            <w:tcW w:w="1418" w:type="dxa"/>
            <w:tcBorders>
              <w:top w:val="nil"/>
              <w:left w:val="nil"/>
              <w:bottom w:val="double" w:sz="4" w:space="0" w:color="auto"/>
              <w:right w:val="nil"/>
            </w:tcBorders>
            <w:vAlign w:val="center"/>
          </w:tcPr>
          <w:p w14:paraId="5B038FC3" w14:textId="77777777" w:rsidR="00AD56CE" w:rsidRDefault="00AD56CE">
            <w:pPr>
              <w:spacing w:line="264" w:lineRule="auto"/>
              <w:ind w:leftChars="-8" w:left="-2" w:hangingChars="9" w:hanging="14"/>
              <w:rPr>
                <w:rFonts w:hint="eastAsia"/>
                <w:sz w:val="16"/>
              </w:rPr>
            </w:pPr>
            <w:r>
              <w:rPr>
                <w:rFonts w:hint="eastAsia"/>
                <w:sz w:val="16"/>
              </w:rPr>
              <w:t>Assistant channel</w:t>
            </w:r>
          </w:p>
        </w:tc>
        <w:tc>
          <w:tcPr>
            <w:tcW w:w="992" w:type="dxa"/>
            <w:tcBorders>
              <w:top w:val="nil"/>
              <w:left w:val="nil"/>
              <w:bottom w:val="double" w:sz="4" w:space="0" w:color="auto"/>
              <w:right w:val="nil"/>
            </w:tcBorders>
            <w:vAlign w:val="center"/>
          </w:tcPr>
          <w:p w14:paraId="32AF0395" w14:textId="77777777" w:rsidR="00AD56CE" w:rsidRDefault="00AD56CE">
            <w:pPr>
              <w:spacing w:line="264" w:lineRule="auto"/>
              <w:rPr>
                <w:rFonts w:hint="eastAsia"/>
                <w:sz w:val="16"/>
              </w:rPr>
            </w:pPr>
            <w:r>
              <w:rPr>
                <w:rFonts w:hint="eastAsia"/>
                <w:sz w:val="16"/>
              </w:rPr>
              <w:t>Channel 2</w:t>
            </w:r>
          </w:p>
        </w:tc>
        <w:tc>
          <w:tcPr>
            <w:tcW w:w="992" w:type="dxa"/>
            <w:tcBorders>
              <w:top w:val="nil"/>
              <w:left w:val="nil"/>
              <w:bottom w:val="double" w:sz="4" w:space="0" w:color="auto"/>
              <w:right w:val="nil"/>
            </w:tcBorders>
            <w:vAlign w:val="center"/>
          </w:tcPr>
          <w:p w14:paraId="7F293980" w14:textId="77777777" w:rsidR="00AD56CE" w:rsidRDefault="00AD56CE">
            <w:pPr>
              <w:spacing w:line="264" w:lineRule="auto"/>
              <w:rPr>
                <w:rFonts w:hint="eastAsia"/>
                <w:sz w:val="16"/>
              </w:rPr>
            </w:pPr>
            <w:r>
              <w:rPr>
                <w:rFonts w:hint="eastAsia"/>
                <w:sz w:val="16"/>
              </w:rPr>
              <w:t>Channel 3</w:t>
            </w:r>
          </w:p>
        </w:tc>
        <w:tc>
          <w:tcPr>
            <w:tcW w:w="567" w:type="dxa"/>
            <w:tcBorders>
              <w:top w:val="nil"/>
              <w:left w:val="nil"/>
              <w:bottom w:val="double" w:sz="4" w:space="0" w:color="auto"/>
              <w:right w:val="nil"/>
            </w:tcBorders>
            <w:vAlign w:val="center"/>
          </w:tcPr>
          <w:p w14:paraId="6B8FE38D" w14:textId="77777777" w:rsidR="00AD56CE" w:rsidRDefault="00AD56CE">
            <w:pPr>
              <w:spacing w:line="264" w:lineRule="auto"/>
              <w:rPr>
                <w:rFonts w:hint="eastAsia"/>
                <w:sz w:val="16"/>
              </w:rPr>
            </w:pPr>
            <w:r>
              <w:rPr>
                <w:rFonts w:hint="eastAsia"/>
                <w:sz w:val="16"/>
              </w:rPr>
              <w:t>…</w:t>
            </w:r>
          </w:p>
        </w:tc>
        <w:tc>
          <w:tcPr>
            <w:tcW w:w="993" w:type="dxa"/>
            <w:tcBorders>
              <w:top w:val="nil"/>
              <w:left w:val="nil"/>
              <w:bottom w:val="double" w:sz="4" w:space="0" w:color="auto"/>
              <w:right w:val="nil"/>
            </w:tcBorders>
            <w:vAlign w:val="center"/>
          </w:tcPr>
          <w:p w14:paraId="0A198266" w14:textId="77777777" w:rsidR="00AD56CE" w:rsidRDefault="00AD56CE">
            <w:pPr>
              <w:spacing w:line="264" w:lineRule="auto"/>
              <w:rPr>
                <w:rFonts w:hint="eastAsia"/>
                <w:sz w:val="16"/>
              </w:rPr>
            </w:pPr>
            <w:r>
              <w:rPr>
                <w:rFonts w:hint="eastAsia"/>
                <w:sz w:val="16"/>
              </w:rPr>
              <w:t>Channel 1</w:t>
            </w:r>
          </w:p>
        </w:tc>
      </w:tr>
    </w:tbl>
    <w:p w14:paraId="5EEDF778" w14:textId="77777777" w:rsidR="00AD56CE" w:rsidRDefault="00AD56CE">
      <w:pPr>
        <w:pStyle w:val="Text"/>
        <w:rPr>
          <w:rFonts w:eastAsia="宋体" w:hint="eastAsia"/>
          <w:lang w:eastAsia="zh-CN"/>
        </w:rPr>
      </w:pPr>
    </w:p>
    <w:p w14:paraId="6A3BAC01" w14:textId="77777777" w:rsidR="00AD56CE" w:rsidRDefault="00AD56CE">
      <w:pPr>
        <w:pStyle w:val="Text"/>
        <w:ind w:firstLine="0"/>
        <w:jc w:val="center"/>
        <w:rPr>
          <w:rFonts w:eastAsia="宋体" w:hint="eastAsia"/>
          <w:lang w:eastAsia="zh-CN"/>
        </w:rPr>
      </w:pPr>
      <w:r>
        <w:pict>
          <v:shape id="图片 2" o:spid="_x0000_i1026" type="#_x0000_t75" style="width:172.9pt;height:115.9pt;mso-position-horizontal-relative:page;mso-position-vertical-relative:page" fillcolor="#6d6d6d">
            <v:imagedata r:id="rId9" o:title="1fig600"/>
          </v:shape>
        </w:pict>
      </w:r>
    </w:p>
    <w:p w14:paraId="0E429468" w14:textId="77777777" w:rsidR="00AD56CE" w:rsidRDefault="00AD56CE">
      <w:pPr>
        <w:pStyle w:val="figurecaption"/>
        <w:rPr>
          <w:rFonts w:hint="eastAsia"/>
        </w:rPr>
      </w:pPr>
      <w:r>
        <w:t>Fig.</w:t>
      </w:r>
      <w:r>
        <w:rPr>
          <w:rFonts w:hint="eastAsia"/>
        </w:rPr>
        <w:t xml:space="preserve"> 1.</w:t>
      </w:r>
      <w:r>
        <w:t xml:space="preserve"> Magnetization as a function of applied field.</w:t>
      </w:r>
    </w:p>
    <w:p w14:paraId="2B441ECB" w14:textId="77777777" w:rsidR="00AD56CE" w:rsidRDefault="00AD56CE">
      <w:pPr>
        <w:pStyle w:val="Text"/>
        <w:jc w:val="center"/>
        <w:rPr>
          <w:rFonts w:eastAsia="宋体" w:hint="eastAsia"/>
          <w:lang w:eastAsia="zh-CN"/>
        </w:rPr>
      </w:pPr>
    </w:p>
    <w:p w14:paraId="6F5E1062" w14:textId="77777777" w:rsidR="00AD56CE" w:rsidRDefault="00AD56CE">
      <w:pPr>
        <w:pStyle w:val="2"/>
      </w:pPr>
      <w:r>
        <w:t>References</w:t>
      </w:r>
    </w:p>
    <w:p w14:paraId="06A77A1D" w14:textId="77777777" w:rsidR="00AD56CE" w:rsidRDefault="00AD56CE">
      <w:pPr>
        <w:pStyle w:val="Text"/>
      </w:pPr>
      <w:r>
        <w:t>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Number footnotes separately in superscripts (Insert | Footnote).</w:t>
      </w:r>
      <w:r>
        <w:rPr>
          <w:rStyle w:val="a3"/>
        </w:rPr>
        <w:footnoteReference w:id="2"/>
      </w:r>
      <w:r>
        <w:t xml:space="preserve"> Place the actual footnote at the bottom of the column in which it is cited; do not put footnotes in the reference list (endnotes). Use letters for table footnotes (see Table I). </w:t>
      </w:r>
    </w:p>
    <w:p w14:paraId="62045D69" w14:textId="77777777" w:rsidR="00AD56CE" w:rsidRDefault="00AD56CE">
      <w:pPr>
        <w:pStyle w:val="Text"/>
      </w:pPr>
      <w:r>
        <w:t>Please note that the references at the end of this document are in the preferred referencing style. Give all authors’ names; do not use “</w:t>
      </w:r>
      <w:r>
        <w:rPr>
          <w:i/>
          <w:iCs/>
        </w:rPr>
        <w:t>et al</w:t>
      </w:r>
      <w: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5C806BCB" w14:textId="77777777" w:rsidR="00AD56CE" w:rsidRDefault="00AD56CE">
      <w:pPr>
        <w:pStyle w:val="Text"/>
        <w:ind w:firstLine="144"/>
      </w:pPr>
      <w:r>
        <w:t>Capitalize only the first word in a paper title, except for proper nouns and element symbols. For papers published in translation journals, please give the English citation first, followed by the original foreign-language citation [8].</w:t>
      </w:r>
    </w:p>
    <w:p w14:paraId="45B4451B" w14:textId="77777777" w:rsidR="00AD56CE" w:rsidRDefault="00AD56CE">
      <w:pPr>
        <w:pStyle w:val="2"/>
      </w:pPr>
      <w:r>
        <w:t>Abbreviations and Acronyms</w:t>
      </w:r>
    </w:p>
    <w:p w14:paraId="2FCBE80A" w14:textId="77777777" w:rsidR="00AD56CE" w:rsidRDefault="00AD56CE">
      <w:pPr>
        <w:pStyle w:val="Text"/>
      </w:pPr>
      <w:r>
        <w:t>Define abbreviations and acronyms the first time they are used in the text, even after they have already been defined in the abstract. Abbreviations such as SI, ac, and dc do not have to be defined. Abbreviations that incorporate periods should not have spaces: write “C.N.R.S.,” not “C. N. R. S.” Do not use abbreviations in the title unless they are unavoidable (for example, “INTERNATIONAL JOURNAL OF MACHINE LEARNING AND COMPUTING” in the title of this article).</w:t>
      </w:r>
    </w:p>
    <w:p w14:paraId="3C918932" w14:textId="77777777" w:rsidR="00AD56CE" w:rsidRDefault="00AD56CE">
      <w:pPr>
        <w:pStyle w:val="2"/>
      </w:pPr>
      <w:r>
        <w:t>Equations</w:t>
      </w:r>
    </w:p>
    <w:p w14:paraId="36491A88" w14:textId="77777777" w:rsidR="00AD56CE" w:rsidRDefault="00AD56CE">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2D8BA54E" w14:textId="77777777" w:rsidR="00AD56CE" w:rsidRDefault="00AD56CE">
      <w:pPr>
        <w:pStyle w:val="Text"/>
      </w:pPr>
    </w:p>
    <w:p w14:paraId="61516944" w14:textId="77777777" w:rsidR="00AD56CE" w:rsidRDefault="00AD56CE">
      <w:pPr>
        <w:pStyle w:val="Equation"/>
        <w:tabs>
          <w:tab w:val="clear" w:pos="5040"/>
          <w:tab w:val="right" w:pos="4820"/>
        </w:tabs>
      </w:pPr>
      <w:r>
        <w:rPr>
          <w:position w:val="-50"/>
        </w:rPr>
        <w:object w:dxaOrig="4940" w:dyaOrig="1120">
          <v:shape id="对象 3" o:spid="_x0000_i1027" type="#_x0000_t75" style="width:224.65pt;height:45.75pt;mso-position-horizontal-relative:page;mso-position-vertical-relative:page" o:ole="" fillcolor="#6d6d6d">
            <v:imagedata r:id="rId10" o:title=""/>
          </v:shape>
          <o:OLEObject Type="Embed" ProgID="Unknown" ShapeID="对象 3" DrawAspect="Content" ObjectID="_1838101621" r:id="rId11"/>
        </w:object>
      </w:r>
      <w:r>
        <w:tab/>
        <w:t>(1)</w:t>
      </w:r>
    </w:p>
    <w:p w14:paraId="0B403DEF" w14:textId="77777777" w:rsidR="00AD56CE" w:rsidRDefault="00AD56CE"/>
    <w:p w14:paraId="3A94A057" w14:textId="77777777" w:rsidR="00AD56CE" w:rsidRDefault="00AD56CE">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72D7EB04" w14:textId="77777777" w:rsidR="00AD56CE" w:rsidRDefault="00AD56CE">
      <w:pPr>
        <w:pStyle w:val="2"/>
      </w:pPr>
      <w:r>
        <w:t>Other Recommendations</w:t>
      </w:r>
    </w:p>
    <w:p w14:paraId="605FE83F" w14:textId="77777777" w:rsidR="00AD56CE" w:rsidRDefault="00AD56CE">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A5D9306" w14:textId="77777777" w:rsidR="00AD56CE" w:rsidRDefault="00AD56CE">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The abbreviation for “seconds” is “s,” not “sec.” Do not mix complete spellings and abbreviations of units: use “Wb/m</w:t>
      </w:r>
      <w:r>
        <w:rPr>
          <w:vertAlign w:val="superscript"/>
        </w:rPr>
        <w:t>2</w:t>
      </w:r>
      <w:r>
        <w:t>” or “webers per square meter,” not “webers/m</w:t>
      </w:r>
      <w:r>
        <w:rPr>
          <w:vertAlign w:val="superscript"/>
        </w:rPr>
        <w:t>2</w:t>
      </w:r>
      <w:r>
        <w:t>.” When expressing a range of values, write “7 to 9” or “7-9,” not “7~9.”</w:t>
      </w:r>
    </w:p>
    <w:p w14:paraId="52DE3AB9" w14:textId="77777777" w:rsidR="00AD56CE" w:rsidRDefault="00AD56CE">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27FBA7A" w14:textId="77777777" w:rsidR="00AD56CE" w:rsidRDefault="00AD56CE">
      <w:pPr>
        <w:pStyle w:val="Text"/>
      </w:pPr>
      <w: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6921AA0B" w14:textId="77777777" w:rsidR="00AD56CE" w:rsidRDefault="00AD56CE">
      <w:pPr>
        <w:pStyle w:val="Text"/>
      </w:pPr>
    </w:p>
    <w:p w14:paraId="4B854C06" w14:textId="77777777" w:rsidR="00AD56CE" w:rsidRDefault="00AD56CE">
      <w:pPr>
        <w:pStyle w:val="1"/>
      </w:pPr>
      <w:r>
        <w:t>Some Common Mistakes</w:t>
      </w:r>
    </w:p>
    <w:p w14:paraId="53C26ED3" w14:textId="77777777" w:rsidR="00AD56CE" w:rsidRDefault="00AD56CE">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65227D07" w14:textId="77777777" w:rsidR="00AD56CE" w:rsidRDefault="00AD56CE">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7723505A" w14:textId="77777777" w:rsidR="00AD56CE" w:rsidRDefault="00AD56CE">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20CE9298" w14:textId="77777777" w:rsidR="00AD56CE" w:rsidRDefault="00AD56CE">
      <w:pPr>
        <w:pStyle w:val="Text"/>
      </w:pPr>
      <w:r>
        <w:t xml:space="preserve">An excellent style manual and source of information for science writers is [9]. </w:t>
      </w:r>
    </w:p>
    <w:p w14:paraId="2FDA9B79" w14:textId="77777777" w:rsidR="00AD56CE" w:rsidRDefault="00AD56CE">
      <w:pPr>
        <w:pStyle w:val="Text"/>
        <w:ind w:firstLine="0"/>
      </w:pPr>
    </w:p>
    <w:p w14:paraId="708B4B05" w14:textId="77777777" w:rsidR="00AD56CE" w:rsidRDefault="00AD56CE">
      <w:pPr>
        <w:pStyle w:val="1"/>
      </w:pPr>
      <w:r>
        <w:t>Editorial Policy</w:t>
      </w:r>
    </w:p>
    <w:p w14:paraId="2AC9E565" w14:textId="77777777" w:rsidR="00AD56CE" w:rsidRDefault="00AD56CE">
      <w:pPr>
        <w:pStyle w:val="Text"/>
      </w:pPr>
      <w:r>
        <w:t>The submitting author is responsible for obtaining agreement of all coauthors and any consent required from sponsors before submitting a paper. It is the obligation of the authors to cite relevant prior work.</w:t>
      </w:r>
    </w:p>
    <w:p w14:paraId="1E7220CC" w14:textId="77777777" w:rsidR="00AD56CE" w:rsidRDefault="00AD56CE">
      <w:pPr>
        <w:pStyle w:val="Text"/>
      </w:pPr>
      <w:r>
        <w:t>Authors of rejected papers may revise and resubmit them to the</w:t>
      </w:r>
      <w:r>
        <w:rPr>
          <w:rFonts w:hint="eastAsia"/>
          <w:lang w:eastAsia="zh-TW"/>
        </w:rPr>
        <w:t xml:space="preserve"> journal again</w:t>
      </w:r>
      <w:r>
        <w:t>.</w:t>
      </w:r>
    </w:p>
    <w:p w14:paraId="1B60E211" w14:textId="77777777" w:rsidR="00AD56CE" w:rsidRDefault="00AD56CE">
      <w:pPr>
        <w:pStyle w:val="Text"/>
      </w:pPr>
    </w:p>
    <w:p w14:paraId="6ECD633D" w14:textId="77777777" w:rsidR="00AD56CE" w:rsidRDefault="00AD56CE">
      <w:pPr>
        <w:pStyle w:val="1"/>
      </w:pPr>
      <w:r>
        <w:t>Publication Principles</w:t>
      </w:r>
    </w:p>
    <w:p w14:paraId="58651CC9" w14:textId="77777777" w:rsidR="00AD56CE" w:rsidRDefault="00AD56CE">
      <w:pPr>
        <w:pStyle w:val="Text"/>
      </w:pPr>
      <w:r>
        <w:t xml:space="preserve">The contents of </w:t>
      </w:r>
      <w:r>
        <w:rPr>
          <w:rFonts w:hint="eastAsia"/>
          <w:lang w:eastAsia="zh-TW"/>
        </w:rPr>
        <w:t xml:space="preserve">the journal </w:t>
      </w:r>
      <w:r>
        <w:t xml:space="preserve">are peer-reviewed and archival. The </w:t>
      </w:r>
      <w:r>
        <w:rPr>
          <w:rFonts w:hint="eastAsia"/>
          <w:lang w:eastAsia="zh-TW"/>
        </w:rPr>
        <w:t xml:space="preserve">journal </w:t>
      </w:r>
      <w:r>
        <w:rPr>
          <w:lang w:eastAsia="zh-TW"/>
        </w:rPr>
        <w:t>International Journal of Machine Learning and Computing</w:t>
      </w:r>
      <w:r>
        <w:t xml:space="preserve"> publishes scholarly articles of archival value as well as tutorial expositions and critical reviews of classical subjects and topics of current interest. </w:t>
      </w:r>
    </w:p>
    <w:p w14:paraId="3A0E2E26" w14:textId="77777777" w:rsidR="00AD56CE" w:rsidRDefault="00AD56CE">
      <w:pPr>
        <w:pStyle w:val="Text"/>
      </w:pPr>
      <w:r>
        <w:t>Authors should consider the following points:</w:t>
      </w:r>
    </w:p>
    <w:p w14:paraId="4D0D4D8F" w14:textId="77777777" w:rsidR="00AD56CE" w:rsidRDefault="00AD56CE">
      <w:pPr>
        <w:pStyle w:val="Text"/>
        <w:numPr>
          <w:ilvl w:val="0"/>
          <w:numId w:val="3"/>
        </w:numPr>
      </w:pPr>
      <w:r>
        <w:t xml:space="preserve">Technical papers submitted for publication must advance the state of knowledge and must cite relevant prior work. </w:t>
      </w:r>
    </w:p>
    <w:p w14:paraId="1265340E" w14:textId="77777777" w:rsidR="00AD56CE" w:rsidRDefault="00AD56CE">
      <w:pPr>
        <w:pStyle w:val="Text"/>
        <w:numPr>
          <w:ilvl w:val="0"/>
          <w:numId w:val="3"/>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4F8AAD0A" w14:textId="77777777" w:rsidR="00AD56CE" w:rsidRDefault="00AD56CE">
      <w:pPr>
        <w:pStyle w:val="Text"/>
        <w:numPr>
          <w:ilvl w:val="0"/>
          <w:numId w:val="3"/>
        </w:numPr>
      </w:pPr>
      <w:r>
        <w:t xml:space="preserve">Authors must convince both peer reviewers and the editors of the scientific and technical merit of a paper; the standards of proof are higher when extraordinary or unexpected results are reported. </w:t>
      </w:r>
    </w:p>
    <w:p w14:paraId="161D3C11" w14:textId="77777777" w:rsidR="00AD56CE" w:rsidRDefault="00AD56CE">
      <w:pPr>
        <w:pStyle w:val="Text"/>
        <w:numPr>
          <w:ilvl w:val="0"/>
          <w:numId w:val="3"/>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7A960D12" w14:textId="77777777" w:rsidR="00AD56CE" w:rsidRDefault="00AD56CE">
      <w:pPr>
        <w:pStyle w:val="Text"/>
        <w:ind w:firstLine="0"/>
      </w:pPr>
    </w:p>
    <w:p w14:paraId="698074E1" w14:textId="77777777" w:rsidR="00AD56CE" w:rsidRDefault="00AD56CE">
      <w:pPr>
        <w:pStyle w:val="1"/>
      </w:pPr>
      <w:r>
        <w:t>Conclusion</w:t>
      </w:r>
    </w:p>
    <w:p w14:paraId="0010D9FF" w14:textId="77777777" w:rsidR="00AD56CE" w:rsidRDefault="00AD56CE">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2187C196" w14:textId="77777777" w:rsidR="00AD56CE" w:rsidRDefault="00AD56CE">
      <w:pPr>
        <w:pStyle w:val="ReferenceHead"/>
      </w:pPr>
      <w:r>
        <w:t>Appendix</w:t>
      </w:r>
    </w:p>
    <w:p w14:paraId="701A68F0" w14:textId="77777777" w:rsidR="00AD56CE" w:rsidRDefault="00AD56CE">
      <w:pPr>
        <w:pStyle w:val="Text"/>
      </w:pPr>
      <w:r>
        <w:t>Appendixes, if needed, appear before the acknowledgment.</w:t>
      </w:r>
    </w:p>
    <w:p w14:paraId="4038B7AC" w14:textId="77777777" w:rsidR="00AD56CE" w:rsidRDefault="00AD56CE">
      <w:pPr>
        <w:pStyle w:val="ReferenceHead"/>
        <w:rPr>
          <w:highlight w:val="yellow"/>
        </w:rPr>
      </w:pPr>
      <w:r>
        <w:rPr>
          <w:highlight w:val="yellow"/>
        </w:rPr>
        <w:t>Conflict of Interest</w:t>
      </w:r>
    </w:p>
    <w:p w14:paraId="5AEB1E52" w14:textId="77777777" w:rsidR="00AD56CE" w:rsidRDefault="00AD56CE">
      <w:pPr>
        <w:pStyle w:val="Text"/>
        <w:rPr>
          <w:highlight w:val="yellow"/>
        </w:rPr>
      </w:pPr>
      <w:r>
        <w:rPr>
          <w:highlight w:val="yellow"/>
        </w:rPr>
        <w:t>Please declare whether or not the submitted work was carried out with a conflict of interest. If yes, please state any personal, professional or financial relationships that could potentially be construed as a conflict of interest.  If no, please add "The authors declare no conflict of interest".</w:t>
      </w:r>
    </w:p>
    <w:p w14:paraId="08F70BA8" w14:textId="77777777" w:rsidR="00AD56CE" w:rsidRDefault="00AD56CE">
      <w:pPr>
        <w:pStyle w:val="ReferenceHead"/>
        <w:rPr>
          <w:highlight w:val="yellow"/>
        </w:rPr>
      </w:pPr>
      <w:r>
        <w:rPr>
          <w:highlight w:val="yellow"/>
        </w:rPr>
        <w:t>Author Contributions</w:t>
      </w:r>
    </w:p>
    <w:p w14:paraId="0886D3AC" w14:textId="77777777" w:rsidR="00AD56CE" w:rsidRDefault="00AD56CE">
      <w:pPr>
        <w:pStyle w:val="Text"/>
      </w:pPr>
      <w:r>
        <w:rPr>
          <w:highlight w:val="yellow"/>
        </w:rPr>
        <w:t>Please state each author's contribution to this work, it can be up to several sentences long and should briefly describe the tasks of individual authors. e.g., A, B concuted the research; C, D analyzed the data; A, B wrote the paper; ...;  all authors had approved the final version.</w:t>
      </w:r>
    </w:p>
    <w:p w14:paraId="37732455" w14:textId="77777777" w:rsidR="00AD56CE" w:rsidRDefault="00AD56CE">
      <w:pPr>
        <w:pStyle w:val="ReferenceHead"/>
      </w:pPr>
      <w:r>
        <w:t>Acknowledgment</w:t>
      </w:r>
    </w:p>
    <w:p w14:paraId="5745A938" w14:textId="77777777" w:rsidR="00AD56CE" w:rsidRDefault="00AD56CE">
      <w:pPr>
        <w:pStyle w:val="Text"/>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
          <w:bCs/>
        </w:rPr>
        <w:t>Sponsor and financial support acknowledgments are placed in the unnumbered footnote on the first page</w:t>
      </w:r>
      <w:r>
        <w:t>.</w:t>
      </w:r>
    </w:p>
    <w:p w14:paraId="2679A91B" w14:textId="77777777" w:rsidR="00AD56CE" w:rsidRDefault="00AD56CE">
      <w:pPr>
        <w:pStyle w:val="ReferenceHead"/>
        <w:rPr>
          <w:rFonts w:eastAsia="宋体" w:hint="eastAsia"/>
          <w:lang w:eastAsia="zh-CN"/>
        </w:rPr>
      </w:pPr>
      <w:r>
        <w:t>References</w:t>
      </w:r>
    </w:p>
    <w:p w14:paraId="24592988" w14:textId="77777777" w:rsidR="00AD56CE" w:rsidRDefault="00AD56CE">
      <w:pPr>
        <w:snapToGrid w:val="0"/>
        <w:spacing w:line="264" w:lineRule="auto"/>
        <w:rPr>
          <w:rFonts w:hint="eastAsia"/>
          <w:b/>
          <w:sz w:val="16"/>
          <w:szCs w:val="16"/>
        </w:rPr>
      </w:pPr>
      <w:r>
        <w:rPr>
          <w:rFonts w:hint="eastAsia"/>
          <w:b/>
          <w:sz w:val="16"/>
          <w:szCs w:val="16"/>
        </w:rPr>
        <w:t>(</w:t>
      </w:r>
      <w:bookmarkStart w:id="4" w:name="OLE_LINK3"/>
      <w:bookmarkStart w:id="5" w:name="OLE_LINK4"/>
      <w:r>
        <w:rPr>
          <w:b/>
          <w:sz w:val="16"/>
          <w:szCs w:val="16"/>
        </w:rPr>
        <w:t>Periodical style</w:t>
      </w:r>
      <w:bookmarkEnd w:id="4"/>
      <w:bookmarkEnd w:id="5"/>
      <w:r>
        <w:rPr>
          <w:rFonts w:hint="eastAsia"/>
          <w:b/>
          <w:sz w:val="16"/>
          <w:szCs w:val="16"/>
        </w:rPr>
        <w:t xml:space="preserve">) </w:t>
      </w:r>
    </w:p>
    <w:p w14:paraId="0B9B0D24" w14:textId="77777777" w:rsidR="00AD56CE" w:rsidRDefault="00AD56CE">
      <w:pPr>
        <w:pStyle w:val="References"/>
      </w:pPr>
      <w:r>
        <w:t xml:space="preserve">S. Chen, B. Mulgrew, and P. M. Grant, “A clustering technique for digital communications channel equalization using radial basis function networks,” </w:t>
      </w:r>
      <w:r>
        <w:rPr>
          <w:i/>
          <w:iCs/>
        </w:rPr>
        <w:t>IEEE Trans. on Neural Networks</w:t>
      </w:r>
      <w:r>
        <w:t>, vol. 4, pp. 570-578, July 1993.</w:t>
      </w:r>
    </w:p>
    <w:p w14:paraId="5653E389" w14:textId="77777777" w:rsidR="00AD56CE" w:rsidRDefault="00AD56CE">
      <w:pPr>
        <w:pStyle w:val="References"/>
        <w:rPr>
          <w:rFonts w:hint="eastAsia"/>
        </w:rPr>
      </w:pPr>
      <w:r>
        <w:t xml:space="preserve">J. U. Duncombe, “Infrared navigation—Part I: An assessment of feasibility,” </w:t>
      </w:r>
      <w:r>
        <w:rPr>
          <w:i/>
          <w:iCs/>
        </w:rPr>
        <w:t>IEEE Trans. Electron Devices</w:t>
      </w:r>
      <w:r>
        <w:t>, vol. ED-11, pp. 34</w:t>
      </w:r>
      <w:r>
        <w:rPr>
          <w:rFonts w:hint="eastAsia"/>
        </w:rPr>
        <w:t>-</w:t>
      </w:r>
      <w:r>
        <w:t>39, Jan. 1959.</w:t>
      </w:r>
    </w:p>
    <w:p w14:paraId="6B4CE738" w14:textId="77777777" w:rsidR="00AD56CE" w:rsidRDefault="00AD56CE">
      <w:pPr>
        <w:pStyle w:val="References"/>
        <w:rPr>
          <w:rFonts w:hint="eastAsia"/>
        </w:rPr>
      </w:pPr>
      <w:r>
        <w:rPr>
          <w:rFonts w:eastAsia="Times-Roman"/>
        </w:rPr>
        <w:t xml:space="preserve">C. Y. </w:t>
      </w:r>
      <w:r>
        <w:t>Lin</w:t>
      </w:r>
      <w:r>
        <w:rPr>
          <w:rFonts w:eastAsia="Times-Roman"/>
        </w:rPr>
        <w:t>, M.</w:t>
      </w:r>
      <w:r>
        <w:rPr>
          <w:rFonts w:eastAsia="Times-Roman" w:hint="eastAsia"/>
        </w:rPr>
        <w:t xml:space="preserve"> </w:t>
      </w:r>
      <w:r>
        <w:rPr>
          <w:rFonts w:eastAsia="Times-Roman"/>
        </w:rPr>
        <w:t>Wu, J. A. Bloom, I</w:t>
      </w:r>
      <w:r>
        <w:rPr>
          <w:rFonts w:eastAsia="Times-Roman" w:hint="eastAsia"/>
        </w:rPr>
        <w:t xml:space="preserve">. </w:t>
      </w:r>
      <w:r>
        <w:rPr>
          <w:rFonts w:eastAsia="Times-Roman"/>
        </w:rPr>
        <w:t xml:space="preserve">J. Cox, </w:t>
      </w:r>
      <w:r>
        <w:rPr>
          <w:rFonts w:eastAsia="Times-Roman" w:hint="eastAsia"/>
        </w:rPr>
        <w:t xml:space="preserve">and </w:t>
      </w:r>
      <w:r>
        <w:rPr>
          <w:rFonts w:eastAsia="Times-Roman"/>
        </w:rPr>
        <w:t>M. Miller, “Rotation,</w:t>
      </w:r>
      <w:r>
        <w:rPr>
          <w:rFonts w:eastAsia="Times-Roman" w:hint="eastAsia"/>
        </w:rPr>
        <w:t xml:space="preserve"> </w:t>
      </w:r>
      <w:r>
        <w:rPr>
          <w:rFonts w:eastAsia="Times-Roman"/>
        </w:rPr>
        <w:t>scale, and translation resilient public watermarking for images,”</w:t>
      </w:r>
      <w:r>
        <w:rPr>
          <w:rFonts w:eastAsia="Times-Roman" w:hint="eastAsia"/>
        </w:rPr>
        <w:t xml:space="preserve"> </w:t>
      </w:r>
      <w:r>
        <w:rPr>
          <w:rFonts w:eastAsia="Times-Roman"/>
          <w:i/>
          <w:iCs/>
        </w:rPr>
        <w:t>IEEE Trans. Image Process.</w:t>
      </w:r>
      <w:r>
        <w:rPr>
          <w:rFonts w:eastAsia="Times-Roman"/>
        </w:rPr>
        <w:t>, vol. 10, no. 5, pp. 767</w:t>
      </w:r>
      <w:r>
        <w:rPr>
          <w:rFonts w:eastAsia="Times-Roman" w:hint="eastAsia"/>
        </w:rPr>
        <w:t>-</w:t>
      </w:r>
      <w:r>
        <w:rPr>
          <w:rFonts w:eastAsia="Times-Roman"/>
        </w:rPr>
        <w:t>782, May 2001.</w:t>
      </w:r>
    </w:p>
    <w:p w14:paraId="004F3121" w14:textId="77777777" w:rsidR="00AD56CE" w:rsidRDefault="00AD56CE">
      <w:pPr>
        <w:jc w:val="both"/>
        <w:rPr>
          <w:sz w:val="16"/>
          <w:szCs w:val="16"/>
        </w:rPr>
      </w:pPr>
      <w:r>
        <w:rPr>
          <w:b/>
          <w:sz w:val="16"/>
          <w:szCs w:val="16"/>
        </w:rPr>
        <w:t>(Book style)</w:t>
      </w:r>
    </w:p>
    <w:p w14:paraId="791C741C" w14:textId="77777777" w:rsidR="00AD56CE" w:rsidRDefault="00AD56CE">
      <w:pPr>
        <w:pStyle w:val="References"/>
        <w:rPr>
          <w:rFonts w:hint="eastAsia"/>
        </w:rPr>
      </w:pPr>
      <w:r>
        <w:t xml:space="preserve">A. Cichocki and R. Unbehaven, </w:t>
      </w:r>
      <w:r>
        <w:rPr>
          <w:i/>
        </w:rPr>
        <w:t>Neural Networks</w:t>
      </w:r>
      <w:r>
        <w:rPr>
          <w:rFonts w:hint="eastAsia"/>
          <w:i/>
        </w:rPr>
        <w:t xml:space="preserve"> </w:t>
      </w:r>
      <w:r>
        <w:rPr>
          <w:i/>
        </w:rPr>
        <w:t>for Optimization and Signal Processing</w:t>
      </w:r>
      <w:r>
        <w:t xml:space="preserve">, </w:t>
      </w:r>
      <w:r>
        <w:rPr>
          <w:rFonts w:hint="eastAsia"/>
        </w:rPr>
        <w:t xml:space="preserve">1st ed. </w:t>
      </w:r>
      <w:r>
        <w:t>Chichester,</w:t>
      </w:r>
      <w:r>
        <w:rPr>
          <w:rFonts w:hint="eastAsia"/>
        </w:rPr>
        <w:t xml:space="preserve"> </w:t>
      </w:r>
      <w:r>
        <w:t>U.K.: Wiley, 1993, ch. 2, pp. 45</w:t>
      </w:r>
      <w:r>
        <w:rPr>
          <w:rFonts w:hint="eastAsia"/>
        </w:rPr>
        <w:t>-</w:t>
      </w:r>
      <w:r>
        <w:t>47.</w:t>
      </w:r>
    </w:p>
    <w:p w14:paraId="539F4E0F" w14:textId="77777777" w:rsidR="00AD56CE" w:rsidRDefault="00AD56CE">
      <w:pPr>
        <w:pStyle w:val="References"/>
        <w:rPr>
          <w:rFonts w:hint="eastAsia"/>
        </w:rPr>
      </w:pPr>
      <w:r>
        <w:t xml:space="preserve">W.-K. Chen, </w:t>
      </w:r>
      <w:r>
        <w:rPr>
          <w:i/>
        </w:rPr>
        <w:t>Linear Networks and Systems</w:t>
      </w:r>
      <w:r>
        <w:rPr>
          <w:rFonts w:hint="eastAsia"/>
        </w:rPr>
        <w:t xml:space="preserve">, </w:t>
      </w:r>
      <w:r>
        <w:t>Belmont, CA: Wadsworth, 1993, pp. 123</w:t>
      </w:r>
      <w:r>
        <w:rPr>
          <w:rFonts w:hint="eastAsia"/>
        </w:rPr>
        <w:t>-</w:t>
      </w:r>
      <w:r>
        <w:t>135</w:t>
      </w:r>
      <w:r>
        <w:rPr>
          <w:rFonts w:hint="eastAsia"/>
        </w:rPr>
        <w:t>.</w:t>
      </w:r>
    </w:p>
    <w:p w14:paraId="21826F4A" w14:textId="77777777" w:rsidR="00AD56CE" w:rsidRDefault="00AD56CE">
      <w:pPr>
        <w:pStyle w:val="References"/>
        <w:rPr>
          <w:rFonts w:hint="eastAsia"/>
        </w:rPr>
      </w:pPr>
      <w:r>
        <w:t xml:space="preserve">H. Poor, </w:t>
      </w:r>
      <w:r>
        <w:rPr>
          <w:i/>
        </w:rPr>
        <w:t>An Introduction to Signal Detection and Estimation</w:t>
      </w:r>
      <w:r>
        <w:rPr>
          <w:rFonts w:hint="eastAsia"/>
        </w:rPr>
        <w:t>;</w:t>
      </w:r>
      <w:r>
        <w:t xml:space="preserve"> New York: Springer-Verlag, 1985, ch. 4.</w:t>
      </w:r>
    </w:p>
    <w:p w14:paraId="23F43B8F" w14:textId="77777777" w:rsidR="00AD56CE" w:rsidRDefault="00AD56CE">
      <w:pPr>
        <w:snapToGrid w:val="0"/>
        <w:spacing w:line="276" w:lineRule="auto"/>
        <w:rPr>
          <w:rFonts w:hint="eastAsia"/>
          <w:b/>
          <w:sz w:val="16"/>
          <w:szCs w:val="16"/>
        </w:rPr>
      </w:pPr>
      <w:r>
        <w:rPr>
          <w:b/>
          <w:sz w:val="16"/>
          <w:szCs w:val="16"/>
        </w:rPr>
        <w:t>(Book style with paper title and editor)</w:t>
      </w:r>
      <w:r>
        <w:rPr>
          <w:rFonts w:hint="eastAsia"/>
          <w:b/>
          <w:sz w:val="16"/>
          <w:szCs w:val="16"/>
        </w:rPr>
        <w:t xml:space="preserve"> </w:t>
      </w:r>
    </w:p>
    <w:p w14:paraId="6B9D8FF9" w14:textId="77777777" w:rsidR="00AD56CE" w:rsidRDefault="00AD56CE">
      <w:pPr>
        <w:pStyle w:val="References"/>
        <w:rPr>
          <w:rFonts w:hint="eastAsia"/>
        </w:rPr>
      </w:pPr>
      <w:r>
        <w:rPr>
          <w:rFonts w:eastAsia="Times-Roman"/>
        </w:rPr>
        <w:t xml:space="preserve">R. A. </w:t>
      </w:r>
      <w:r>
        <w:t>Scholtz</w:t>
      </w:r>
      <w:r>
        <w:rPr>
          <w:rFonts w:eastAsia="Times-Roman"/>
        </w:rPr>
        <w:t>, “The Spread Spectrum Concept,” in</w:t>
      </w:r>
      <w:r>
        <w:rPr>
          <w:rFonts w:eastAsia="Times-Roman" w:hint="eastAsia"/>
        </w:rPr>
        <w:t xml:space="preserve"> </w:t>
      </w:r>
      <w:r>
        <w:rPr>
          <w:rFonts w:eastAsia="Times-Roman"/>
          <w:i/>
        </w:rPr>
        <w:t>Multiple Access</w:t>
      </w:r>
      <w:r>
        <w:rPr>
          <w:rFonts w:eastAsia="Times-Roman"/>
        </w:rPr>
        <w:t>, N. Abramson, Ed. Piscataway, NJ:</w:t>
      </w:r>
      <w:r>
        <w:rPr>
          <w:rFonts w:eastAsia="Times-Roman" w:hint="eastAsia"/>
        </w:rPr>
        <w:t xml:space="preserve"> </w:t>
      </w:r>
      <w:r>
        <w:rPr>
          <w:rFonts w:eastAsia="Times-Roman"/>
        </w:rPr>
        <w:t>IEEE Press, 1993, ch. 3, pp. 121</w:t>
      </w:r>
      <w:r>
        <w:rPr>
          <w:rFonts w:eastAsia="Times-Roman" w:hint="eastAsia"/>
        </w:rPr>
        <w:t>-</w:t>
      </w:r>
      <w:r>
        <w:rPr>
          <w:rFonts w:eastAsia="Times-Roman"/>
        </w:rPr>
        <w:t>123.</w:t>
      </w:r>
    </w:p>
    <w:p w14:paraId="16A9380C" w14:textId="77777777" w:rsidR="00AD56CE" w:rsidRDefault="00AD56CE">
      <w:pPr>
        <w:pStyle w:val="References"/>
        <w:rPr>
          <w:rFonts w:hint="eastAsia"/>
        </w:rPr>
      </w:pPr>
      <w:r>
        <w:t xml:space="preserve">G. O. Young, “Synthetic structure of industrial plastics,” in </w:t>
      </w:r>
      <w:r>
        <w:rPr>
          <w:i/>
        </w:rPr>
        <w:t>Plastics</w:t>
      </w:r>
      <w:r>
        <w:t>, 2nd ed. vol. 3, J. Peters, Ed. New</w:t>
      </w:r>
      <w:r>
        <w:rPr>
          <w:rFonts w:hint="eastAsia"/>
        </w:rPr>
        <w:t xml:space="preserve"> </w:t>
      </w:r>
      <w:r>
        <w:t>York: McGraw-Hill, 1964, pp. 15</w:t>
      </w:r>
      <w:r>
        <w:rPr>
          <w:rFonts w:hint="eastAsia"/>
        </w:rPr>
        <w:t>-</w:t>
      </w:r>
      <w:r>
        <w:t>64</w:t>
      </w:r>
      <w:r>
        <w:rPr>
          <w:rFonts w:hint="eastAsia"/>
        </w:rPr>
        <w:t>.</w:t>
      </w:r>
    </w:p>
    <w:p w14:paraId="74D7F01C" w14:textId="77777777" w:rsidR="00AD56CE" w:rsidRDefault="00AD56CE">
      <w:pPr>
        <w:rPr>
          <w:rFonts w:hint="eastAsia"/>
          <w:sz w:val="16"/>
          <w:szCs w:val="16"/>
        </w:rPr>
      </w:pPr>
      <w:r>
        <w:rPr>
          <w:b/>
          <w:sz w:val="16"/>
          <w:szCs w:val="16"/>
        </w:rPr>
        <w:t>(Published Conference Proceedings style)</w:t>
      </w:r>
    </w:p>
    <w:p w14:paraId="1B235484" w14:textId="77777777" w:rsidR="00AD56CE" w:rsidRDefault="00AD56CE">
      <w:pPr>
        <w:pStyle w:val="References"/>
        <w:rPr>
          <w:rFonts w:hint="eastAsia"/>
          <w:lang w:eastAsia="zh-CN"/>
        </w:rPr>
      </w:pPr>
      <w:r>
        <w:rPr>
          <w:lang w:eastAsia="zh-CN"/>
        </w:rPr>
        <w:t>M. B</w:t>
      </w:r>
      <w:r>
        <w:rPr>
          <w:rFonts w:eastAsia="宋体" w:hint="eastAsia"/>
          <w:lang w:eastAsia="zh-CN"/>
        </w:rPr>
        <w:t>.</w:t>
      </w:r>
      <w:r>
        <w:rPr>
          <w:lang w:eastAsia="zh-CN"/>
        </w:rPr>
        <w:t> Kasmani, “A Socio-linguistic Study of Vowel Harmony in Persian (Different Age Groups Use of Vowel Harmony Perspective</w:t>
      </w:r>
      <w:r>
        <w:rPr>
          <w:rFonts w:eastAsia="宋体" w:hint="eastAsia"/>
          <w:lang w:eastAsia="zh-CN"/>
        </w:rPr>
        <w:t>,</w:t>
      </w:r>
      <w:r>
        <w:rPr>
          <w:rFonts w:eastAsia="宋体"/>
          <w:lang w:eastAsia="zh-CN"/>
        </w:rPr>
        <w:t>”</w:t>
      </w:r>
      <w:r>
        <w:rPr>
          <w:lang w:eastAsia="zh-CN"/>
        </w:rPr>
        <w:t> </w:t>
      </w:r>
      <w:r>
        <w:rPr>
          <w:i/>
          <w:lang w:eastAsia="zh-CN"/>
        </w:rPr>
        <w:t>International Proceedings of Economics Development and Research</w:t>
      </w:r>
      <w:r>
        <w:rPr>
          <w:lang w:eastAsia="zh-CN"/>
        </w:rPr>
        <w:t>, ed. Chen Dan, </w:t>
      </w:r>
      <w:r>
        <w:rPr>
          <w:rFonts w:eastAsia="宋体" w:hint="eastAsia"/>
          <w:lang w:eastAsia="zh-CN"/>
        </w:rPr>
        <w:t>pp</w:t>
      </w:r>
      <w:r>
        <w:rPr>
          <w:lang w:eastAsia="zh-CN"/>
        </w:rPr>
        <w:t>. 359-366</w:t>
      </w:r>
      <w:r>
        <w:rPr>
          <w:rFonts w:eastAsia="宋体" w:hint="eastAsia"/>
          <w:lang w:eastAsia="zh-CN"/>
        </w:rPr>
        <w:t>,</w:t>
      </w:r>
      <w:r>
        <w:rPr>
          <w:lang w:eastAsia="zh-CN"/>
        </w:rPr>
        <w:t xml:space="preserve"> vol. 26, 2011.   </w:t>
      </w:r>
    </w:p>
    <w:p w14:paraId="356E069F" w14:textId="77777777" w:rsidR="00AD56CE" w:rsidRDefault="00AD56CE">
      <w:pPr>
        <w:pStyle w:val="References"/>
        <w:rPr>
          <w:rFonts w:hint="eastAsia"/>
        </w:rPr>
      </w:pPr>
      <w:r>
        <w:t xml:space="preserve">W. D. Doyle, “Magnetization reversal in films with biaxial anisotropy,” in </w:t>
      </w:r>
      <w:r>
        <w:rPr>
          <w:i/>
          <w:iCs/>
        </w:rPr>
        <w:t>Proc. 1987 INTERMAG Conf.</w:t>
      </w:r>
      <w:r>
        <w:t xml:space="preserve">, </w:t>
      </w:r>
      <w:r>
        <w:rPr>
          <w:iCs/>
        </w:rPr>
        <w:t>1987</w:t>
      </w:r>
      <w:r>
        <w:rPr>
          <w:rFonts w:hint="eastAsia"/>
        </w:rPr>
        <w:t xml:space="preserve">, </w:t>
      </w:r>
      <w:r>
        <w:t>pp. 2.2</w:t>
      </w:r>
      <w:r>
        <w:rPr>
          <w:rFonts w:hint="eastAsia"/>
        </w:rPr>
        <w:t>-</w:t>
      </w:r>
      <w:r>
        <w:t>1</w:t>
      </w:r>
      <w:r>
        <w:rPr>
          <w:rFonts w:hint="eastAsia"/>
        </w:rPr>
        <w:t>-</w:t>
      </w:r>
      <w:r>
        <w:t>2.2-6</w:t>
      </w:r>
      <w:r>
        <w:rPr>
          <w:rFonts w:eastAsia="宋体" w:hint="eastAsia"/>
          <w:lang w:eastAsia="zh-CN"/>
        </w:rPr>
        <w:t>.</w:t>
      </w:r>
    </w:p>
    <w:p w14:paraId="5900E437" w14:textId="77777777" w:rsidR="00AD56CE" w:rsidRDefault="00AD56CE">
      <w:pPr>
        <w:snapToGrid w:val="0"/>
        <w:spacing w:line="276" w:lineRule="auto"/>
        <w:rPr>
          <w:rFonts w:hint="eastAsia"/>
          <w:b/>
          <w:sz w:val="16"/>
          <w:szCs w:val="16"/>
        </w:rPr>
      </w:pPr>
      <w:r>
        <w:rPr>
          <w:b/>
          <w:sz w:val="16"/>
          <w:szCs w:val="16"/>
        </w:rPr>
        <w:t>(Presented Conference Paper style)</w:t>
      </w:r>
      <w:r>
        <w:rPr>
          <w:rFonts w:hint="eastAsia"/>
          <w:b/>
          <w:sz w:val="16"/>
          <w:szCs w:val="16"/>
        </w:rPr>
        <w:t xml:space="preserve"> </w:t>
      </w:r>
    </w:p>
    <w:p w14:paraId="124005BF" w14:textId="77777777" w:rsidR="00AD56CE" w:rsidRDefault="00AD56CE">
      <w:pPr>
        <w:pStyle w:val="References"/>
        <w:rPr>
          <w:rFonts w:hint="eastAsia"/>
        </w:rPr>
      </w:pPr>
      <w:r>
        <w:t xml:space="preserve">G. W. Juette and L. E. Zeffanella, “Radio noise currents n short sections on bundle conductors,” presented at the IEEE Summer </w:t>
      </w:r>
      <w:r>
        <w:rPr>
          <w:rFonts w:hint="eastAsia"/>
        </w:rPr>
        <w:t>P</w:t>
      </w:r>
      <w:r>
        <w:t>ower Meeting, Dallas, TX, June 22</w:t>
      </w:r>
      <w:r>
        <w:rPr>
          <w:rFonts w:hint="eastAsia"/>
        </w:rPr>
        <w:t>-</w:t>
      </w:r>
      <w:r>
        <w:t>27, 1990</w:t>
      </w:r>
      <w:r>
        <w:rPr>
          <w:rFonts w:hint="eastAsia"/>
        </w:rPr>
        <w:t>.</w:t>
      </w:r>
    </w:p>
    <w:p w14:paraId="3D293C37" w14:textId="77777777" w:rsidR="00AD56CE" w:rsidRDefault="00AD56CE">
      <w:pPr>
        <w:rPr>
          <w:rFonts w:hint="eastAsia"/>
          <w:sz w:val="16"/>
          <w:szCs w:val="16"/>
        </w:rPr>
      </w:pPr>
      <w:r>
        <w:rPr>
          <w:b/>
          <w:sz w:val="16"/>
          <w:szCs w:val="16"/>
        </w:rPr>
        <w:t>(Thesis or Dissertation style)</w:t>
      </w:r>
    </w:p>
    <w:p w14:paraId="71F7DCEC" w14:textId="77777777" w:rsidR="00AD56CE" w:rsidRDefault="00AD56CE">
      <w:pPr>
        <w:pStyle w:val="References"/>
        <w:rPr>
          <w:rFonts w:hint="eastAsia"/>
        </w:rPr>
      </w:pPr>
      <w:r>
        <w:t>J. Williams, “Narrow-band analyzer,” Ph.D. dissertation, Dept. Elect. Eng., Harvard Univ., Cambridge, MA, 1993.</w:t>
      </w:r>
    </w:p>
    <w:p w14:paraId="4CE34CDC" w14:textId="77777777" w:rsidR="00AD56CE" w:rsidRDefault="00AD56CE">
      <w:pPr>
        <w:pStyle w:val="References"/>
        <w:rPr>
          <w:rFonts w:hint="eastAsia"/>
        </w:rPr>
      </w:pPr>
      <w:r>
        <w:t>N. Kawasaki, “Parametric study of thermal and chemical nonequilibrium nozzle flow,” M.S. thesis, Dept. Electron. Eng., Osaka Univ., Osaka, Japan, 1993.</w:t>
      </w:r>
    </w:p>
    <w:p w14:paraId="470868F7" w14:textId="77777777" w:rsidR="00AD56CE" w:rsidRDefault="00AD56CE">
      <w:pPr>
        <w:snapToGrid w:val="0"/>
        <w:spacing w:line="276" w:lineRule="auto"/>
        <w:rPr>
          <w:rFonts w:hint="eastAsia"/>
          <w:b/>
          <w:sz w:val="16"/>
          <w:szCs w:val="16"/>
        </w:rPr>
      </w:pPr>
      <w:r>
        <w:rPr>
          <w:b/>
          <w:sz w:val="16"/>
          <w:szCs w:val="16"/>
        </w:rPr>
        <w:t>(Patent style)</w:t>
      </w:r>
      <w:r>
        <w:rPr>
          <w:rFonts w:hint="eastAsia"/>
          <w:b/>
          <w:sz w:val="16"/>
          <w:szCs w:val="16"/>
        </w:rPr>
        <w:t xml:space="preserve"> </w:t>
      </w:r>
    </w:p>
    <w:p w14:paraId="28AFABCA" w14:textId="77777777" w:rsidR="00AD56CE" w:rsidRDefault="00AD56CE">
      <w:pPr>
        <w:pStyle w:val="References"/>
        <w:rPr>
          <w:rFonts w:hint="eastAsia"/>
        </w:rPr>
      </w:pPr>
      <w:r>
        <w:t>J. P. Wilkinson, “Nonlinear resonant circuit devices,” U.S. Patent 3 624 12, July 16, 1990.</w:t>
      </w:r>
    </w:p>
    <w:p w14:paraId="765E38F9" w14:textId="77777777" w:rsidR="00AD56CE" w:rsidRDefault="00AD56CE">
      <w:pPr>
        <w:snapToGrid w:val="0"/>
        <w:spacing w:line="276" w:lineRule="auto"/>
        <w:rPr>
          <w:rFonts w:hint="eastAsia"/>
          <w:b/>
          <w:sz w:val="16"/>
          <w:szCs w:val="16"/>
        </w:rPr>
      </w:pPr>
      <w:r>
        <w:rPr>
          <w:b/>
          <w:sz w:val="16"/>
          <w:szCs w:val="16"/>
        </w:rPr>
        <w:t>(Standards style)</w:t>
      </w:r>
      <w:r>
        <w:rPr>
          <w:rFonts w:hint="eastAsia"/>
          <w:b/>
          <w:sz w:val="16"/>
          <w:szCs w:val="16"/>
        </w:rPr>
        <w:t xml:space="preserve"> </w:t>
      </w:r>
    </w:p>
    <w:p w14:paraId="17BCAB6F" w14:textId="77777777" w:rsidR="00AD56CE" w:rsidRDefault="00AD56CE">
      <w:pPr>
        <w:pStyle w:val="References"/>
        <w:rPr>
          <w:rFonts w:hint="eastAsia"/>
        </w:rPr>
      </w:pPr>
      <w:r>
        <w:rPr>
          <w:i/>
          <w:iCs/>
        </w:rPr>
        <w:t>Letter Symbols for Quantities</w:t>
      </w:r>
      <w:r>
        <w:t>, ANSI Standard Y10.5-1968</w:t>
      </w:r>
      <w:r>
        <w:rPr>
          <w:rFonts w:hint="eastAsia"/>
        </w:rPr>
        <w:t>.</w:t>
      </w:r>
    </w:p>
    <w:p w14:paraId="3C098848" w14:textId="77777777" w:rsidR="00AD56CE" w:rsidRDefault="00AD56CE">
      <w:pPr>
        <w:rPr>
          <w:rFonts w:eastAsia="宋体" w:hint="eastAsia"/>
          <w:b/>
          <w:sz w:val="16"/>
          <w:szCs w:val="16"/>
          <w:lang w:eastAsia="zh-CN"/>
        </w:rPr>
      </w:pPr>
      <w:r>
        <w:rPr>
          <w:b/>
          <w:sz w:val="16"/>
          <w:szCs w:val="16"/>
        </w:rPr>
        <w:t>(Handbook style)</w:t>
      </w:r>
    </w:p>
    <w:p w14:paraId="54BE0C85" w14:textId="77777777" w:rsidR="00AD56CE" w:rsidRDefault="00AD56CE">
      <w:pPr>
        <w:pStyle w:val="References"/>
        <w:rPr>
          <w:rFonts w:hint="eastAsia"/>
        </w:rPr>
      </w:pPr>
      <w:r>
        <w:rPr>
          <w:i/>
          <w:iCs/>
        </w:rPr>
        <w:t>Transmission Systems for Communications,</w:t>
      </w:r>
      <w:r>
        <w:t xml:space="preserve"> 3rd ed., Western Electric Co., Winston-Salem, NC, 1985, pp. 44</w:t>
      </w:r>
      <w:r>
        <w:rPr>
          <w:rFonts w:hint="eastAsia"/>
        </w:rPr>
        <w:t>-</w:t>
      </w:r>
      <w:r>
        <w:t>60</w:t>
      </w:r>
      <w:r>
        <w:rPr>
          <w:rFonts w:hint="eastAsia"/>
        </w:rPr>
        <w:t>.</w:t>
      </w:r>
    </w:p>
    <w:p w14:paraId="19F32668" w14:textId="77777777" w:rsidR="00AD56CE" w:rsidRDefault="00AD56CE">
      <w:pPr>
        <w:pStyle w:val="References"/>
        <w:rPr>
          <w:rFonts w:hint="eastAsia"/>
        </w:rPr>
      </w:pPr>
      <w:r>
        <w:rPr>
          <w:i/>
          <w:iCs/>
        </w:rPr>
        <w:t>Motorola Semiconductor Data Manual,</w:t>
      </w:r>
      <w:r>
        <w:t xml:space="preserve"> Motorola Semiconductor Products Inc., Phoenix, AZ, 1989.</w:t>
      </w:r>
    </w:p>
    <w:p w14:paraId="20152053" w14:textId="77777777" w:rsidR="00AD56CE" w:rsidRDefault="00AD56CE">
      <w:pPr>
        <w:rPr>
          <w:rFonts w:hint="eastAsia"/>
          <w:sz w:val="16"/>
          <w:szCs w:val="16"/>
        </w:rPr>
      </w:pPr>
      <w:r>
        <w:rPr>
          <w:b/>
          <w:sz w:val="16"/>
          <w:szCs w:val="16"/>
        </w:rPr>
        <w:t>(Journal Online Sources style)</w:t>
      </w:r>
    </w:p>
    <w:p w14:paraId="6585E0FF" w14:textId="77777777" w:rsidR="00AD56CE" w:rsidRDefault="00AD56CE">
      <w:pPr>
        <w:pStyle w:val="References"/>
        <w:rPr>
          <w:rFonts w:hint="eastAsia"/>
        </w:rPr>
      </w:pPr>
      <w:r>
        <w:t>R. J. Vidmar. (August 1992).</w:t>
      </w:r>
      <w:r>
        <w:rPr>
          <w:rFonts w:hint="eastAsia"/>
          <w:lang w:eastAsia="zh-CN"/>
        </w:rPr>
        <w:t xml:space="preserve"> </w:t>
      </w:r>
      <w:r>
        <w:t xml:space="preserve">On the use of atmospheric plasmas as electromagnetic reflectors. </w:t>
      </w:r>
      <w:r>
        <w:rPr>
          <w:i/>
          <w:iCs/>
        </w:rPr>
        <w:t>IEEE Trans. Plasma Sci.</w:t>
      </w:r>
      <w:r>
        <w:t xml:space="preserve"> [Online]. </w:t>
      </w:r>
      <w:r>
        <w:rPr>
          <w:iCs/>
        </w:rPr>
        <w:t>21(3)</w:t>
      </w:r>
      <w:r>
        <w:rPr>
          <w:i/>
          <w:iCs/>
        </w:rPr>
        <w:t>.</w:t>
      </w:r>
      <w:r>
        <w:t xml:space="preserve"> pp. 876</w:t>
      </w:r>
      <w:r>
        <w:rPr>
          <w:rFonts w:hint="eastAsia"/>
          <w:lang w:eastAsia="zh-CN"/>
        </w:rPr>
        <w:t>-</w:t>
      </w:r>
      <w:r>
        <w:t>880.</w:t>
      </w:r>
      <w:r>
        <w:rPr>
          <w:rFonts w:eastAsia="宋体" w:hint="eastAsia"/>
          <w:lang w:eastAsia="zh-CN"/>
        </w:rPr>
        <w:t xml:space="preserve"> </w:t>
      </w:r>
      <w:r>
        <w:t>Available: http://www.halcyon.com/pub/journals/21ps03-vidmar</w:t>
      </w:r>
    </w:p>
    <w:p w14:paraId="5C159677" w14:textId="77777777" w:rsidR="00AD56CE" w:rsidRDefault="00AD56CE">
      <w:pPr>
        <w:pStyle w:val="FigureCaption0"/>
        <w:rPr>
          <w:b/>
          <w:bCs/>
        </w:rPr>
      </w:pPr>
    </w:p>
    <w:p w14:paraId="433A286D" w14:textId="77777777" w:rsidR="00AD56CE" w:rsidRDefault="00AD56CE">
      <w:pPr>
        <w:pStyle w:val="FigureCaption0"/>
        <w:rPr>
          <w:rFonts w:eastAsia="宋体"/>
          <w:lang w:eastAsia="zh-CN"/>
        </w:rPr>
      </w:pPr>
      <w:r>
        <w:rPr>
          <w:highlight w:val="yellow"/>
        </w:rPr>
        <w:t>Copyright © 20</w:t>
      </w:r>
      <w:r>
        <w:rPr>
          <w:rFonts w:eastAsia="宋体" w:hint="eastAsia"/>
          <w:highlight w:val="yellow"/>
          <w:lang w:eastAsia="zh-CN"/>
        </w:rPr>
        <w:t>2</w:t>
      </w:r>
      <w:r w:rsidR="0066365D">
        <w:rPr>
          <w:rFonts w:eastAsia="宋体"/>
          <w:highlight w:val="yellow"/>
          <w:lang w:eastAsia="zh-CN"/>
        </w:rPr>
        <w:t>2</w:t>
      </w:r>
      <w:r>
        <w:rPr>
          <w:highlight w:val="yellow"/>
        </w:rPr>
        <w:t xml:space="preserve"> by the authors. This is an open access article distributed under the Creative Commons Attribution License which permits unrestricted use, distribution, and reproduction in any medium, provided the original work is properly cited (</w:t>
      </w:r>
      <w:hyperlink r:id="rId12" w:history="1">
        <w:r>
          <w:rPr>
            <w:rStyle w:val="a6"/>
            <w:highlight w:val="yellow"/>
          </w:rPr>
          <w:t>CC BY 4.0</w:t>
        </w:r>
      </w:hyperlink>
      <w:r>
        <w:rPr>
          <w:highlight w:val="yellow"/>
        </w:rPr>
        <w:t>).</w:t>
      </w:r>
    </w:p>
    <w:p w14:paraId="292DA53B" w14:textId="77777777" w:rsidR="00AD56CE" w:rsidRDefault="00AD56CE">
      <w:pPr>
        <w:pStyle w:val="FigureCaption0"/>
        <w:rPr>
          <w:b/>
          <w:bCs/>
        </w:rPr>
      </w:pPr>
    </w:p>
    <w:p w14:paraId="572894C9" w14:textId="77777777" w:rsidR="00AD56CE" w:rsidRDefault="00AD56CE">
      <w:pPr>
        <w:snapToGrid w:val="0"/>
        <w:spacing w:line="276" w:lineRule="auto"/>
        <w:ind w:firstLineChars="175" w:firstLine="280"/>
        <w:rPr>
          <w:rFonts w:hint="eastAsia"/>
          <w:sz w:val="16"/>
          <w:szCs w:val="16"/>
        </w:rPr>
      </w:pPr>
      <w:r>
        <w:rPr>
          <w:rFonts w:hint="eastAsia"/>
          <w:sz w:val="16"/>
          <w:szCs w:val="16"/>
        </w:rPr>
        <w:t>(</w:t>
      </w:r>
      <w:r>
        <w:rPr>
          <w:rFonts w:hint="eastAsia"/>
          <w:b/>
          <w:sz w:val="16"/>
          <w:szCs w:val="16"/>
        </w:rPr>
        <w:t>All</w:t>
      </w:r>
      <w:r>
        <w:rPr>
          <w:b/>
          <w:sz w:val="16"/>
          <w:szCs w:val="16"/>
        </w:rPr>
        <w:t xml:space="preserve"> authors </w:t>
      </w:r>
      <w:r>
        <w:rPr>
          <w:rFonts w:hint="eastAsia"/>
          <w:b/>
          <w:sz w:val="16"/>
          <w:szCs w:val="16"/>
        </w:rPr>
        <w:t xml:space="preserve">should </w:t>
      </w:r>
      <w:r>
        <w:rPr>
          <w:b/>
          <w:sz w:val="16"/>
          <w:szCs w:val="16"/>
        </w:rPr>
        <w:t xml:space="preserve">include biographies </w:t>
      </w:r>
      <w:r>
        <w:rPr>
          <w:rFonts w:hint="eastAsia"/>
          <w:b/>
          <w:sz w:val="16"/>
          <w:szCs w:val="16"/>
        </w:rPr>
        <w:t xml:space="preserve">with </w:t>
      </w:r>
      <w:r>
        <w:rPr>
          <w:b/>
          <w:sz w:val="16"/>
          <w:szCs w:val="16"/>
        </w:rPr>
        <w:t>photo</w:t>
      </w:r>
      <w:r>
        <w:rPr>
          <w:rFonts w:hint="eastAsia"/>
          <w:b/>
          <w:sz w:val="16"/>
          <w:szCs w:val="16"/>
        </w:rPr>
        <w:t xml:space="preserve"> </w:t>
      </w:r>
      <w:r>
        <w:rPr>
          <w:b/>
          <w:sz w:val="16"/>
          <w:szCs w:val="16"/>
        </w:rPr>
        <w:t>at the end of regular papers</w:t>
      </w:r>
      <w:r>
        <w:rPr>
          <w:sz w:val="16"/>
          <w:szCs w:val="16"/>
        </w:rPr>
        <w:t>.</w:t>
      </w:r>
      <w:r>
        <w:rPr>
          <w:rFonts w:hint="eastAsia"/>
          <w:sz w:val="16"/>
          <w:szCs w:val="16"/>
        </w:rPr>
        <w:t>)</w:t>
      </w:r>
    </w:p>
    <w:p w14:paraId="4AE0C061" w14:textId="77777777" w:rsidR="00AD56CE" w:rsidRDefault="00AD56CE">
      <w:pPr>
        <w:pStyle w:val="FigureCaption0"/>
        <w:rPr>
          <w:rFonts w:eastAsia="宋体" w:hint="eastAsia"/>
          <w:b/>
          <w:bCs/>
          <w:lang w:eastAsia="zh-CN"/>
        </w:rPr>
      </w:pPr>
    </w:p>
    <w:p w14:paraId="2B412F84" w14:textId="77777777" w:rsidR="00AD56CE" w:rsidRDefault="00AD56CE">
      <w:pPr>
        <w:pStyle w:val="FigureCaption0"/>
        <w:rPr>
          <w:rFonts w:eastAsia="宋体" w:hint="eastAsia"/>
          <w:b/>
          <w:bCs/>
          <w:lang w:eastAsia="zh-CN"/>
        </w:rPr>
      </w:pPr>
    </w:p>
    <w:tbl>
      <w:tblPr>
        <w:tblW w:w="0" w:type="auto"/>
        <w:tblInd w:w="0" w:type="dxa"/>
        <w:tblLook w:val="0000" w:firstRow="0" w:lastRow="0" w:firstColumn="0" w:lastColumn="0" w:noHBand="0" w:noVBand="0"/>
      </w:tblPr>
      <w:tblGrid>
        <w:gridCol w:w="5089"/>
      </w:tblGrid>
      <w:tr w:rsidR="00AD56CE" w14:paraId="3E6D853A" w14:textId="77777777">
        <w:tc>
          <w:tcPr>
            <w:tcW w:w="5089" w:type="dxa"/>
          </w:tcPr>
          <w:p w14:paraId="7EC8B277" w14:textId="77777777" w:rsidR="00AD56CE" w:rsidRDefault="00AD56CE">
            <w:pPr>
              <w:pStyle w:val="FigureCaption0"/>
              <w:rPr>
                <w:rFonts w:eastAsia="宋体" w:hint="eastAsia"/>
                <w:lang w:eastAsia="zh-CN"/>
              </w:rPr>
            </w:pPr>
            <w:r>
              <w:rPr>
                <w:b/>
                <w:bCs/>
                <w:lang w:val="en-US" w:eastAsia="zh-CN"/>
              </w:rPr>
              <w:pict w14:anchorId="429DEF7F">
                <v:shapetype id="_x0000_t202" coordsize="21600,21600" o:spt="202" path="m,l,21600r21600,l21600,xe">
                  <v:stroke joinstyle="miter"/>
                  <v:path gradientshapeok="t" o:connecttype="rect"/>
                </v:shapetype>
                <v:shape id="文本框 8" o:spid="_x0000_s2056" type="#_x0000_t202" style="position:absolute;left:0;text-align:left;margin-left:-.45pt;margin-top:4.75pt;width:61.45pt;height:78pt;z-index:251657728">
                  <v:textbox inset="0,0,0,0">
                    <w:txbxContent>
                      <w:p w14:paraId="32F9507D" w14:textId="77777777" w:rsidR="00AD56CE" w:rsidRDefault="00AD56CE">
                        <w:pPr>
                          <w:jc w:val="center"/>
                          <w:rPr>
                            <w:rFonts w:hint="eastAsia"/>
                          </w:rPr>
                        </w:pPr>
                      </w:p>
                      <w:p w14:paraId="21919943" w14:textId="77777777" w:rsidR="00AD56CE" w:rsidRDefault="00AD56CE">
                        <w:pPr>
                          <w:jc w:val="center"/>
                          <w:rPr>
                            <w:rFonts w:hint="eastAsia"/>
                          </w:rPr>
                        </w:pPr>
                      </w:p>
                      <w:p w14:paraId="69B16E9D" w14:textId="77777777" w:rsidR="00AD56CE" w:rsidRDefault="00AD56CE">
                        <w:pPr>
                          <w:jc w:val="center"/>
                          <w:rPr>
                            <w:rFonts w:hint="eastAsia"/>
                            <w:sz w:val="16"/>
                            <w:szCs w:val="16"/>
                          </w:rPr>
                        </w:pPr>
                        <w:r>
                          <w:rPr>
                            <w:rFonts w:hint="eastAsia"/>
                            <w:sz w:val="16"/>
                            <w:szCs w:val="16"/>
                          </w:rPr>
                          <w:t>Author</w:t>
                        </w:r>
                        <w:r>
                          <w:rPr>
                            <w:sz w:val="16"/>
                            <w:szCs w:val="16"/>
                          </w:rPr>
                          <w:t>’</w:t>
                        </w:r>
                        <w:r>
                          <w:rPr>
                            <w:rFonts w:hint="eastAsia"/>
                            <w:sz w:val="16"/>
                            <w:szCs w:val="16"/>
                          </w:rPr>
                          <w:t>s formal photo</w:t>
                        </w:r>
                      </w:p>
                    </w:txbxContent>
                  </v:textbox>
                  <w10:wrap type="square"/>
                </v:shape>
              </w:pict>
            </w:r>
            <w:r>
              <w:rPr>
                <w:b/>
                <w:bCs/>
              </w:rPr>
              <w:t>First A. Author</w:t>
            </w:r>
            <w:r>
              <w:t xml:space="preserve"> and the other authors may include  biographies at the end of regular papers. The first paragraph may contain a place and/or date of birth (list place, then date). Next, the author’s educational background is listed. The degrees should be listed with type of degree in what field, which institution, city, state or country, and year degree was earned. The author’s major field of study should be lower-cased.</w:t>
            </w:r>
          </w:p>
          <w:p w14:paraId="7473856D" w14:textId="77777777" w:rsidR="00AD56CE" w:rsidRDefault="00AD56CE">
            <w:pPr>
              <w:pStyle w:val="FigureCaption0"/>
              <w:ind w:firstLineChars="100" w:firstLine="160"/>
            </w:pPr>
            <w: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ends the paragraph.</w:t>
            </w:r>
          </w:p>
          <w:p w14:paraId="0ED28CBA" w14:textId="77777777" w:rsidR="00AD56CE" w:rsidRDefault="00AD56CE">
            <w:pPr>
              <w:pStyle w:val="FigureCaption0"/>
              <w:rPr>
                <w:rFonts w:eastAsia="宋体" w:hint="eastAsia"/>
                <w:lang w:eastAsia="zh-CN"/>
              </w:rPr>
            </w:pPr>
            <w:r>
              <w:tab/>
              <w:t>The third paragraph begins with the author’s title and last name (e.g., Dr. Smith, Prof. Jones, Mr. Kajor, Ms. Hunter). List any memberships in professional societies. Finally, list any awards and work for committees and publications.  If a photograph is provided, the biography will be indented around it. The photograph is placed at the top left of the biography. Personal hobbies will be deleted from the biography.</w:t>
            </w:r>
          </w:p>
        </w:tc>
      </w:tr>
    </w:tbl>
    <w:p w14:paraId="0A9CCAC1" w14:textId="77777777" w:rsidR="00AD56CE" w:rsidRDefault="00AD56CE">
      <w:pPr>
        <w:pStyle w:val="FigureCaption0"/>
        <w:rPr>
          <w:rFonts w:eastAsia="宋体"/>
          <w:lang w:eastAsia="zh-CN"/>
        </w:rPr>
        <w:sectPr w:rsidR="00AD56CE">
          <w:headerReference w:type="default" r:id="rId13"/>
          <w:pgSz w:w="11907" w:h="16839"/>
          <w:pgMar w:top="1009" w:right="936" w:bottom="1009" w:left="936" w:header="431" w:footer="431" w:gutter="0"/>
          <w:cols w:num="2" w:space="288"/>
        </w:sectPr>
      </w:pPr>
      <w:r>
        <w:tab/>
      </w:r>
    </w:p>
    <w:p w14:paraId="3C1B08EF" w14:textId="77777777" w:rsidR="00AD56CE" w:rsidRDefault="00AD56CE">
      <w:pPr>
        <w:pStyle w:val="FigureCaption0"/>
        <w:rPr>
          <w:rFonts w:eastAsia="宋体" w:hint="eastAsia"/>
          <w:lang w:eastAsia="zh-CN"/>
        </w:rPr>
      </w:pPr>
    </w:p>
    <w:p w14:paraId="743282DA" w14:textId="77777777" w:rsidR="00AD56CE" w:rsidRDefault="00AD56CE">
      <w:pPr>
        <w:pStyle w:val="FigureCaption0"/>
        <w:rPr>
          <w:rFonts w:eastAsia="宋体"/>
          <w:lang w:eastAsia="zh-CN"/>
        </w:rPr>
        <w:sectPr w:rsidR="00AD56CE">
          <w:type w:val="continuous"/>
          <w:pgSz w:w="11907" w:h="16839"/>
          <w:pgMar w:top="1009" w:right="936" w:bottom="1009" w:left="936" w:header="431" w:footer="431" w:gutter="0"/>
          <w:cols w:space="720"/>
        </w:sectPr>
      </w:pPr>
    </w:p>
    <w:p w14:paraId="50D2D0B7" w14:textId="77777777" w:rsidR="00AD56CE" w:rsidRDefault="00AD56CE">
      <w:pPr>
        <w:pStyle w:val="FigureCaption0"/>
        <w:rPr>
          <w:rFonts w:eastAsia="宋体" w:hint="eastAsia"/>
          <w:lang w:eastAsia="zh-CN"/>
        </w:rPr>
      </w:pPr>
    </w:p>
    <w:sectPr w:rsidR="00AD56CE">
      <w:type w:val="continuous"/>
      <w:pgSz w:w="11907" w:h="16839"/>
      <w:pgMar w:top="1009" w:right="936" w:bottom="1009" w:left="936" w:header="431" w:footer="43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E694" w14:textId="77777777" w:rsidR="007317C4" w:rsidRDefault="007317C4">
      <w:pPr>
        <w:rPr>
          <w:sz w:val="18"/>
        </w:rPr>
      </w:pPr>
    </w:p>
  </w:endnote>
  <w:endnote w:type="continuationSeparator" w:id="0">
    <w:p w14:paraId="6AC8C347" w14:textId="77777777" w:rsidR="007317C4" w:rsidRDefault="007317C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Roman">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D169" w14:textId="77777777" w:rsidR="007317C4" w:rsidRDefault="007317C4">
      <w:pPr>
        <w:rPr>
          <w:sz w:val="18"/>
        </w:rPr>
      </w:pPr>
    </w:p>
  </w:footnote>
  <w:footnote w:type="continuationSeparator" w:id="0">
    <w:p w14:paraId="7C0E7D5E" w14:textId="77777777" w:rsidR="007317C4" w:rsidRDefault="007317C4">
      <w:pPr>
        <w:rPr>
          <w:sz w:val="18"/>
        </w:rPr>
      </w:pPr>
    </w:p>
  </w:footnote>
  <w:footnote w:id="1">
    <w:p w14:paraId="12867F91" w14:textId="77777777" w:rsidR="00AD56CE" w:rsidRDefault="00AD56CE">
      <w:pPr>
        <w:pStyle w:val="a8"/>
      </w:pPr>
      <w:r>
        <w:t>Manuscript received October 9, 2001</w:t>
      </w:r>
      <w:r>
        <w:rPr>
          <w:rFonts w:eastAsia="宋体" w:hint="eastAsia"/>
          <w:lang w:eastAsia="zh-CN"/>
        </w:rPr>
        <w:t xml:space="preserve">. </w:t>
      </w:r>
      <w:r>
        <w:t>(Write the date on which you submitted your paper for review.) This work was supported in part by the U.S. Depart</w:t>
      </w:r>
      <w:r>
        <w:softHyphen/>
        <w:t>ment of Com</w:t>
      </w:r>
      <w:r>
        <w:softHyphen/>
        <w:t xml:space="preserve">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14:paraId="4CD8AA7A" w14:textId="77777777" w:rsidR="00AD56CE" w:rsidRDefault="00AD56CE">
      <w:pPr>
        <w:pStyle w:val="a8"/>
      </w:pPr>
      <w:r>
        <w:t xml:space="preserve">F. A. Author is with the National Institute of Standards and Technology, Boulder, CO 80305 USA (e-mail: author@ boulder.nist.gov). </w:t>
      </w:r>
    </w:p>
    <w:p w14:paraId="2F10EB21" w14:textId="77777777" w:rsidR="00AD56CE" w:rsidRDefault="00AD56CE">
      <w:pPr>
        <w:pStyle w:val="a8"/>
      </w:pPr>
      <w:r>
        <w:t>S. B. Author</w:t>
      </w:r>
      <w:r>
        <w:rPr>
          <w:rFonts w:eastAsia="宋体" w:hint="eastAsia"/>
          <w:lang w:eastAsia="zh-CN"/>
        </w:rPr>
        <w:t xml:space="preserve"> </w:t>
      </w:r>
      <w:r>
        <w:t>was with Rice University, Houston, TX 77005 USA. He is now with the Department of Physics, Colorado State University, Fort Collins, CO 80523 USA (e-mail: author@lamar. colostate.edu).</w:t>
      </w:r>
    </w:p>
    <w:p w14:paraId="37191E8A" w14:textId="77777777" w:rsidR="00AD56CE" w:rsidRDefault="00AD56CE">
      <w:pPr>
        <w:pStyle w:val="a8"/>
      </w:pPr>
      <w:r>
        <w:t>T. C. Author is with the Electrical Engineering Department, University of Colorado, Boulder, CO 80309 USA, on leave from the National Research Institute for Metals, Tsukuba, Japan (e-mail: author@nrim.go.jp).</w:t>
      </w:r>
    </w:p>
  </w:footnote>
  <w:footnote w:id="2">
    <w:p w14:paraId="59B56DE5" w14:textId="77777777" w:rsidR="00AD56CE" w:rsidRDefault="00AD56CE">
      <w:pPr>
        <w:pStyle w:val="a8"/>
      </w:pPr>
      <w:r>
        <w:rPr>
          <w:rStyle w:val="a3"/>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2ABC" w14:textId="77777777" w:rsidR="00AD56CE" w:rsidRDefault="00AD56CE">
    <w:pPr>
      <w:framePr w:wrap="around" w:vAnchor="text" w:hAnchor="margin" w:xAlign="right" w:y="1"/>
    </w:pPr>
  </w:p>
  <w:p w14:paraId="1441552D" w14:textId="77777777" w:rsidR="00AD56CE" w:rsidRDefault="00AD56CE">
    <w:pPr>
      <w:tabs>
        <w:tab w:val="left" w:pos="567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2517274C"/>
    <w:multiLevelType w:val="singleLevel"/>
    <w:tmpl w:val="2517274C"/>
    <w:lvl w:ilvl="0">
      <w:start w:val="1"/>
      <w:numFmt w:val="decimal"/>
      <w:lvlText w:val="%1)"/>
      <w:lvlJc w:val="left"/>
      <w:pPr>
        <w:tabs>
          <w:tab w:val="num" w:pos="360"/>
        </w:tabs>
        <w:ind w:left="360" w:hanging="360"/>
      </w:pPr>
    </w:lvl>
  </w:abstractNum>
  <w:abstractNum w:abstractNumId="2" w15:restartNumberingAfterBreak="0">
    <w:nsid w:val="3A877D64"/>
    <w:multiLevelType w:val="singleLevel"/>
    <w:tmpl w:val="3A877D64"/>
    <w:lvl w:ilvl="0">
      <w:start w:val="1"/>
      <w:numFmt w:val="decimal"/>
      <w:lvlText w:val="[%1]"/>
      <w:lvlJc w:val="left"/>
      <w:pPr>
        <w:tabs>
          <w:tab w:val="num" w:pos="360"/>
        </w:tabs>
        <w:ind w:left="360" w:hanging="360"/>
      </w:pPr>
    </w:lvl>
  </w:abstractNum>
  <w:num w:numId="1" w16cid:durableId="281426172">
    <w:abstractNumId w:val="0"/>
  </w:num>
  <w:num w:numId="2" w16cid:durableId="1625692853">
    <w:abstractNumId w:val="2"/>
  </w:num>
  <w:num w:numId="3" w16cid:durableId="91601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7"/>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E2D"/>
    <w:rsid w:val="00010A35"/>
    <w:rsid w:val="00020A6B"/>
    <w:rsid w:val="00022AD7"/>
    <w:rsid w:val="00023D9D"/>
    <w:rsid w:val="000308F0"/>
    <w:rsid w:val="00031F45"/>
    <w:rsid w:val="0003482B"/>
    <w:rsid w:val="00053099"/>
    <w:rsid w:val="00065FA3"/>
    <w:rsid w:val="00070579"/>
    <w:rsid w:val="00073A7B"/>
    <w:rsid w:val="00093946"/>
    <w:rsid w:val="000A3E12"/>
    <w:rsid w:val="000A549A"/>
    <w:rsid w:val="000C1765"/>
    <w:rsid w:val="000D2B00"/>
    <w:rsid w:val="000E1DFC"/>
    <w:rsid w:val="001179E0"/>
    <w:rsid w:val="00121A46"/>
    <w:rsid w:val="00131CDC"/>
    <w:rsid w:val="001913C4"/>
    <w:rsid w:val="00197551"/>
    <w:rsid w:val="001A0C37"/>
    <w:rsid w:val="001C5E06"/>
    <w:rsid w:val="001D3F54"/>
    <w:rsid w:val="001D59D3"/>
    <w:rsid w:val="001F746D"/>
    <w:rsid w:val="00216660"/>
    <w:rsid w:val="002255DB"/>
    <w:rsid w:val="00227166"/>
    <w:rsid w:val="00230B31"/>
    <w:rsid w:val="00241BD8"/>
    <w:rsid w:val="00243A96"/>
    <w:rsid w:val="00256C95"/>
    <w:rsid w:val="00272F1A"/>
    <w:rsid w:val="002A0D03"/>
    <w:rsid w:val="002C2613"/>
    <w:rsid w:val="002D2DE0"/>
    <w:rsid w:val="002D3073"/>
    <w:rsid w:val="002E2C98"/>
    <w:rsid w:val="002F7706"/>
    <w:rsid w:val="00302A1D"/>
    <w:rsid w:val="00302A86"/>
    <w:rsid w:val="00306191"/>
    <w:rsid w:val="003443AB"/>
    <w:rsid w:val="003544EE"/>
    <w:rsid w:val="00375A49"/>
    <w:rsid w:val="00390DB2"/>
    <w:rsid w:val="00395C28"/>
    <w:rsid w:val="003A2CDE"/>
    <w:rsid w:val="003A40B2"/>
    <w:rsid w:val="003A59F2"/>
    <w:rsid w:val="003B3425"/>
    <w:rsid w:val="003C1795"/>
    <w:rsid w:val="003F1116"/>
    <w:rsid w:val="003F4CE4"/>
    <w:rsid w:val="003F54EF"/>
    <w:rsid w:val="00403BDA"/>
    <w:rsid w:val="004117EE"/>
    <w:rsid w:val="004125D8"/>
    <w:rsid w:val="004246EA"/>
    <w:rsid w:val="00424F3C"/>
    <w:rsid w:val="00450809"/>
    <w:rsid w:val="004626D3"/>
    <w:rsid w:val="0046698A"/>
    <w:rsid w:val="004B26AC"/>
    <w:rsid w:val="004D3136"/>
    <w:rsid w:val="004E3A86"/>
    <w:rsid w:val="00502298"/>
    <w:rsid w:val="0050306C"/>
    <w:rsid w:val="00504CB6"/>
    <w:rsid w:val="00513ED0"/>
    <w:rsid w:val="005364F9"/>
    <w:rsid w:val="00550132"/>
    <w:rsid w:val="00556AF4"/>
    <w:rsid w:val="005707AE"/>
    <w:rsid w:val="00594D5D"/>
    <w:rsid w:val="005A4749"/>
    <w:rsid w:val="005D39C9"/>
    <w:rsid w:val="005D5B15"/>
    <w:rsid w:val="005F2365"/>
    <w:rsid w:val="005F2982"/>
    <w:rsid w:val="005F42CC"/>
    <w:rsid w:val="005F7847"/>
    <w:rsid w:val="006054B2"/>
    <w:rsid w:val="0064626B"/>
    <w:rsid w:val="00650FDB"/>
    <w:rsid w:val="0065530C"/>
    <w:rsid w:val="0066205B"/>
    <w:rsid w:val="0066365D"/>
    <w:rsid w:val="006660F2"/>
    <w:rsid w:val="00671855"/>
    <w:rsid w:val="006819F8"/>
    <w:rsid w:val="006C6291"/>
    <w:rsid w:val="006E6884"/>
    <w:rsid w:val="006F6D45"/>
    <w:rsid w:val="006F73DE"/>
    <w:rsid w:val="00706921"/>
    <w:rsid w:val="00725621"/>
    <w:rsid w:val="0072580B"/>
    <w:rsid w:val="00727ADC"/>
    <w:rsid w:val="007317C4"/>
    <w:rsid w:val="00753DD9"/>
    <w:rsid w:val="00754604"/>
    <w:rsid w:val="0076266A"/>
    <w:rsid w:val="00777FCD"/>
    <w:rsid w:val="00780192"/>
    <w:rsid w:val="00782D82"/>
    <w:rsid w:val="007A42CC"/>
    <w:rsid w:val="007B302F"/>
    <w:rsid w:val="007B5C10"/>
    <w:rsid w:val="007C5EB3"/>
    <w:rsid w:val="007C7471"/>
    <w:rsid w:val="008017FE"/>
    <w:rsid w:val="00802E88"/>
    <w:rsid w:val="008074FC"/>
    <w:rsid w:val="00826802"/>
    <w:rsid w:val="00840C06"/>
    <w:rsid w:val="00872EF0"/>
    <w:rsid w:val="0088363A"/>
    <w:rsid w:val="008A2FCC"/>
    <w:rsid w:val="008A30CF"/>
    <w:rsid w:val="00906944"/>
    <w:rsid w:val="00916919"/>
    <w:rsid w:val="00926D7E"/>
    <w:rsid w:val="009526A0"/>
    <w:rsid w:val="0097355C"/>
    <w:rsid w:val="009763C9"/>
    <w:rsid w:val="00977AEE"/>
    <w:rsid w:val="0098708C"/>
    <w:rsid w:val="009973C3"/>
    <w:rsid w:val="009B3257"/>
    <w:rsid w:val="009C0FB1"/>
    <w:rsid w:val="009E5DA5"/>
    <w:rsid w:val="00A21EF0"/>
    <w:rsid w:val="00A36124"/>
    <w:rsid w:val="00A40D30"/>
    <w:rsid w:val="00A513CD"/>
    <w:rsid w:val="00A54C82"/>
    <w:rsid w:val="00A81199"/>
    <w:rsid w:val="00A9415F"/>
    <w:rsid w:val="00AB5BA8"/>
    <w:rsid w:val="00AC667A"/>
    <w:rsid w:val="00AD56CE"/>
    <w:rsid w:val="00AE4BDC"/>
    <w:rsid w:val="00B15D5A"/>
    <w:rsid w:val="00B335EB"/>
    <w:rsid w:val="00B40595"/>
    <w:rsid w:val="00B42D7A"/>
    <w:rsid w:val="00B42E5A"/>
    <w:rsid w:val="00B56A52"/>
    <w:rsid w:val="00B6458A"/>
    <w:rsid w:val="00B73113"/>
    <w:rsid w:val="00B777AC"/>
    <w:rsid w:val="00B84C0F"/>
    <w:rsid w:val="00BB639A"/>
    <w:rsid w:val="00BC5F62"/>
    <w:rsid w:val="00BD70FA"/>
    <w:rsid w:val="00BD7794"/>
    <w:rsid w:val="00C03DC8"/>
    <w:rsid w:val="00C46B63"/>
    <w:rsid w:val="00C5094C"/>
    <w:rsid w:val="00C6171A"/>
    <w:rsid w:val="00C704EC"/>
    <w:rsid w:val="00C70B81"/>
    <w:rsid w:val="00C82E7E"/>
    <w:rsid w:val="00C9698F"/>
    <w:rsid w:val="00CA2017"/>
    <w:rsid w:val="00CE3A1C"/>
    <w:rsid w:val="00CE6934"/>
    <w:rsid w:val="00CF2712"/>
    <w:rsid w:val="00D15514"/>
    <w:rsid w:val="00D37D1E"/>
    <w:rsid w:val="00D4349D"/>
    <w:rsid w:val="00D53FEC"/>
    <w:rsid w:val="00D9137F"/>
    <w:rsid w:val="00DA2AD6"/>
    <w:rsid w:val="00DD0E15"/>
    <w:rsid w:val="00DF2105"/>
    <w:rsid w:val="00DF307B"/>
    <w:rsid w:val="00DF7CE7"/>
    <w:rsid w:val="00E04360"/>
    <w:rsid w:val="00E61C1D"/>
    <w:rsid w:val="00E62F41"/>
    <w:rsid w:val="00EA21EA"/>
    <w:rsid w:val="00EA4A43"/>
    <w:rsid w:val="00EA7827"/>
    <w:rsid w:val="00EB0151"/>
    <w:rsid w:val="00EB092C"/>
    <w:rsid w:val="00EB5DE1"/>
    <w:rsid w:val="00EF5DAF"/>
    <w:rsid w:val="00EF6F47"/>
    <w:rsid w:val="00F0454D"/>
    <w:rsid w:val="00F22915"/>
    <w:rsid w:val="00F250B0"/>
    <w:rsid w:val="00F25F7E"/>
    <w:rsid w:val="00F34ED3"/>
    <w:rsid w:val="00F363EB"/>
    <w:rsid w:val="00F41BC9"/>
    <w:rsid w:val="00F47334"/>
    <w:rsid w:val="00F63764"/>
    <w:rsid w:val="00F67F28"/>
    <w:rsid w:val="00F7052E"/>
    <w:rsid w:val="00F768CA"/>
    <w:rsid w:val="00F8245D"/>
    <w:rsid w:val="00F83769"/>
    <w:rsid w:val="00FA087C"/>
    <w:rsid w:val="00FA2D5F"/>
    <w:rsid w:val="00FA5EE2"/>
    <w:rsid w:val="00FB1DB2"/>
    <w:rsid w:val="00FB5543"/>
    <w:rsid w:val="00FC2790"/>
    <w:rsid w:val="00FD2DA0"/>
    <w:rsid w:val="00FE5C6C"/>
    <w:rsid w:val="28076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3823204D"/>
  <w15:chartTrackingRefBased/>
  <w15:docId w15:val="{CCC03B22-F37E-4637-A6C4-B1A15BFD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pPr>
    <w:rPr>
      <w:lang w:eastAsia="en-US"/>
    </w:rPr>
  </w:style>
  <w:style w:type="paragraph" w:styleId="1">
    <w:name w:val="heading 1"/>
    <w:basedOn w:val="a"/>
    <w:next w:val="a"/>
    <w:qFormat/>
    <w:pPr>
      <w:keepNext/>
      <w:numPr>
        <w:numId w:val="1"/>
      </w:numPr>
      <w:spacing w:before="240" w:after="80"/>
      <w:jc w:val="center"/>
      <w:outlineLvl w:val="0"/>
    </w:pPr>
    <w:rPr>
      <w:smallCaps/>
      <w:kern w:val="28"/>
    </w:rPr>
  </w:style>
  <w:style w:type="paragraph" w:styleId="2">
    <w:name w:val="heading 2"/>
    <w:basedOn w:val="a"/>
    <w:next w:val="a"/>
    <w:qFormat/>
    <w:pPr>
      <w:keepNext/>
      <w:numPr>
        <w:ilvl w:val="1"/>
        <w:numId w:val="1"/>
      </w:numPr>
      <w:spacing w:before="120" w:after="60"/>
      <w:ind w:left="144"/>
      <w:outlineLvl w:val="1"/>
    </w:pPr>
    <w:rPr>
      <w:i/>
      <w:iCs/>
    </w:rPr>
  </w:style>
  <w:style w:type="paragraph" w:styleId="3">
    <w:name w:val="heading 3"/>
    <w:basedOn w:val="a"/>
    <w:next w:val="a"/>
    <w:qFormat/>
    <w:pPr>
      <w:keepNext/>
      <w:numPr>
        <w:ilvl w:val="2"/>
        <w:numId w:val="1"/>
      </w:numPr>
      <w:spacing w:before="60" w:after="60"/>
      <w:ind w:left="232"/>
      <w:outlineLvl w:val="2"/>
    </w:pPr>
    <w:rPr>
      <w:i/>
      <w:iCs/>
    </w:rPr>
  </w:style>
  <w:style w:type="paragraph" w:styleId="4">
    <w:name w:val="heading 4"/>
    <w:basedOn w:val="a"/>
    <w:next w:val="a"/>
    <w:qFormat/>
    <w:pPr>
      <w:keepNext/>
      <w:numPr>
        <w:ilvl w:val="3"/>
        <w:numId w:val="1"/>
      </w:numPr>
      <w:spacing w:before="40" w:after="40"/>
      <w:ind w:left="284" w:firstLine="0"/>
      <w:outlineLvl w:val="3"/>
    </w:pPr>
    <w:rPr>
      <w:i/>
      <w:iCs/>
      <w:szCs w:val="18"/>
      <w:lang w:eastAsia="zh-TW"/>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rPr>
      <w:vertAlign w:val="superscript"/>
    </w:rPr>
  </w:style>
  <w:style w:type="character" w:styleId="a4">
    <w:name w:val="page number"/>
    <w:basedOn w:val="a0"/>
  </w:style>
  <w:style w:type="character" w:styleId="a5">
    <w:name w:val="FollowedHyperlink"/>
    <w:rPr>
      <w:color w:val="800080"/>
      <w:u w:val="single"/>
    </w:rPr>
  </w:style>
  <w:style w:type="character" w:styleId="a6">
    <w:name w:val="Hyperlink"/>
    <w:rPr>
      <w:color w:val="0000FF"/>
      <w:u w:val="single"/>
    </w:rPr>
  </w:style>
  <w:style w:type="character" w:customStyle="1" w:styleId="MemberType">
    <w:name w:val="MemberType"/>
    <w:rPr>
      <w:rFonts w:ascii="Times New Roman" w:hAnsi="Times New Roman" w:cs="Times New Roman"/>
      <w:i/>
      <w:iCs/>
      <w:sz w:val="22"/>
      <w:szCs w:val="22"/>
    </w:rPr>
  </w:style>
  <w:style w:type="character" w:customStyle="1" w:styleId="figurecaptionChar">
    <w:name w:val="figure caption Char"/>
    <w:basedOn w:val="FigureCaptionChar0"/>
    <w:link w:val="figurecaption"/>
    <w:rPr>
      <w:sz w:val="16"/>
      <w:szCs w:val="16"/>
      <w:lang w:eastAsia="en-US"/>
    </w:rPr>
  </w:style>
  <w:style w:type="character" w:customStyle="1" w:styleId="FigureCaptionChar0">
    <w:name w:val="Figure Caption Char"/>
    <w:link w:val="FigureCaption0"/>
    <w:rPr>
      <w:sz w:val="16"/>
      <w:szCs w:val="16"/>
      <w:lang w:eastAsia="en-US"/>
    </w:rPr>
  </w:style>
  <w:style w:type="paragraph" w:styleId="a7">
    <w:name w:val="Title"/>
    <w:basedOn w:val="a"/>
    <w:next w:val="a"/>
    <w:qFormat/>
    <w:pPr>
      <w:framePr w:w="9360" w:hSpace="187" w:vSpace="187" w:wrap="notBeside" w:vAnchor="text" w:hAnchor="page" w:xAlign="center" w:y="1"/>
      <w:jc w:val="center"/>
    </w:pPr>
    <w:rPr>
      <w:kern w:val="28"/>
      <w:sz w:val="40"/>
      <w:szCs w:val="48"/>
    </w:rPr>
  </w:style>
  <w:style w:type="paragraph" w:styleId="a8">
    <w:name w:val="footnote text"/>
    <w:basedOn w:val="a"/>
    <w:semiHidden/>
    <w:pPr>
      <w:ind w:firstLine="202"/>
      <w:jc w:val="both"/>
    </w:pPr>
    <w:rPr>
      <w:sz w:val="16"/>
      <w:szCs w:val="16"/>
    </w:rPr>
  </w:style>
  <w:style w:type="paragraph" w:styleId="a9">
    <w:name w:val="Body Text Indent"/>
    <w:basedOn w:val="a"/>
    <w:pPr>
      <w:ind w:left="630" w:hanging="630"/>
    </w:pPr>
    <w:rPr>
      <w:szCs w:val="24"/>
    </w:rPr>
  </w:style>
  <w:style w:type="paragraph" w:styleId="aa">
    <w:name w:val="footer"/>
    <w:basedOn w:val="a"/>
    <w:pPr>
      <w:tabs>
        <w:tab w:val="center" w:pos="4320"/>
        <w:tab w:val="right" w:pos="8640"/>
      </w:tabs>
    </w:pPr>
  </w:style>
  <w:style w:type="paragraph" w:styleId="ab">
    <w:name w:val="header"/>
    <w:basedOn w:val="a"/>
    <w:pPr>
      <w:tabs>
        <w:tab w:val="center" w:pos="4320"/>
        <w:tab w:val="right" w:pos="8640"/>
      </w:tabs>
    </w:pPr>
  </w:style>
  <w:style w:type="paragraph" w:customStyle="1" w:styleId="Abstract">
    <w:name w:val="Abstract"/>
    <w:basedOn w:val="a"/>
    <w:next w:val="a"/>
    <w:pPr>
      <w:spacing w:before="20"/>
      <w:ind w:firstLine="202"/>
      <w:jc w:val="both"/>
    </w:pPr>
    <w:rPr>
      <w:b/>
      <w:bCs/>
      <w:sz w:val="18"/>
      <w:szCs w:val="18"/>
    </w:rPr>
  </w:style>
  <w:style w:type="paragraph" w:customStyle="1" w:styleId="Equation">
    <w:name w:val="Equation"/>
    <w:basedOn w:val="a"/>
    <w:next w:val="a"/>
    <w:pPr>
      <w:widowControl w:val="0"/>
      <w:tabs>
        <w:tab w:val="right" w:pos="5040"/>
      </w:tabs>
      <w:spacing w:line="252" w:lineRule="auto"/>
      <w:jc w:val="both"/>
    </w:pPr>
  </w:style>
  <w:style w:type="paragraph" w:customStyle="1" w:styleId="References">
    <w:name w:val="References"/>
    <w:basedOn w:val="a"/>
    <w:pPr>
      <w:numPr>
        <w:numId w:val="2"/>
      </w:numPr>
      <w:tabs>
        <w:tab w:val="left" w:pos="360"/>
      </w:tabs>
      <w:jc w:val="both"/>
    </w:pPr>
    <w:rPr>
      <w:sz w:val="16"/>
      <w:szCs w:val="16"/>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paragraph" w:customStyle="1" w:styleId="TableTitle">
    <w:name w:val="Table Title"/>
    <w:basedOn w:val="a"/>
    <w:next w:val="Text"/>
    <w:pPr>
      <w:jc w:val="center"/>
    </w:pPr>
    <w:rPr>
      <w:smallCaps/>
      <w:sz w:val="16"/>
    </w:rPr>
  </w:style>
  <w:style w:type="paragraph" w:customStyle="1" w:styleId="Text">
    <w:name w:val="Text"/>
    <w:basedOn w:val="a"/>
    <w:pPr>
      <w:widowControl w:val="0"/>
      <w:spacing w:line="252" w:lineRule="auto"/>
      <w:ind w:firstLine="202"/>
      <w:jc w:val="both"/>
    </w:pPr>
  </w:style>
  <w:style w:type="paragraph" w:customStyle="1" w:styleId="IndexTerms">
    <w:name w:val="IndexTerms"/>
    <w:basedOn w:val="a"/>
    <w:next w:val="a"/>
    <w:pPr>
      <w:ind w:firstLine="202"/>
      <w:jc w:val="both"/>
    </w:pPr>
    <w:rPr>
      <w:b/>
      <w:bCs/>
      <w:sz w:val="18"/>
      <w:szCs w:val="18"/>
    </w:rPr>
  </w:style>
  <w:style w:type="paragraph" w:customStyle="1" w:styleId="FigureCaption0">
    <w:name w:val="Figure Caption"/>
    <w:basedOn w:val="a"/>
    <w:link w:val="FigureCaptionChar0"/>
    <w:pPr>
      <w:jc w:val="both"/>
    </w:pPr>
    <w:rPr>
      <w:sz w:val="16"/>
      <w:szCs w:val="16"/>
    </w:rPr>
  </w:style>
  <w:style w:type="paragraph" w:customStyle="1" w:styleId="ReferenceHead">
    <w:name w:val="Reference Head"/>
    <w:basedOn w:val="1"/>
    <w:pPr>
      <w:numPr>
        <w:numId w:val="0"/>
      </w:numPr>
    </w:pPr>
  </w:style>
  <w:style w:type="paragraph" w:customStyle="1" w:styleId="figurecaption">
    <w:name w:val="figure caption"/>
    <w:basedOn w:val="FigureCaption0"/>
    <w:link w:val="figurecaptionChar"/>
    <w:qFormat/>
    <w:pPr>
      <w:jc w:val="center"/>
    </w:pPr>
  </w:style>
  <w:style w:type="table" w:styleId="ac">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2825</Words>
  <Characters>16104</Characters>
  <Application>Microsoft Office Word</Application>
  <DocSecurity>4</DocSecurity>
  <Lines>134</Lines>
  <Paragraphs>37</Paragraphs>
  <ScaleCrop>false</ScaleCrop>
  <Company>IEEE</Company>
  <LinksUpToDate>false</LinksUpToDate>
  <CharactersWithSpaces>18892</CharactersWithSpaces>
  <SharedDoc>false</SharedDoc>
  <HLinks>
    <vt:vector size="6" baseType="variant">
      <vt:variant>
        <vt:i4>5308424</vt:i4>
      </vt:variant>
      <vt:variant>
        <vt:i4>6</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dc:creator>
  <cp:keywords/>
  <cp:lastModifiedBy>wen zhang</cp:lastModifiedBy>
  <cp:revision>2</cp:revision>
  <cp:lastPrinted>2004-03-25T03:09:00Z</cp:lastPrinted>
  <dcterms:created xsi:type="dcterms:W3CDTF">2026-04-19T03:01:00Z</dcterms:created>
  <dcterms:modified xsi:type="dcterms:W3CDTF">2026-04-19T03:01:00Z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