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23/03/2020      TO       27/03/2020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UI for the menu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Place pieces in a starting location.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scripts to detect a finished puzzle.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Basketball level.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27/03/2020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