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Судебная система Российской империи. Процесс </w:t>
      </w:r>
    </w:p>
    <w:p>
      <w:pPr>
        <w:pStyle w:val="Normal"/>
        <w:rPr>
          <w:rStyle w:val="Def"/>
        </w:rPr>
      </w:pPr>
      <w:r>
        <w:rPr/>
      </w:r>
    </w:p>
    <w:p>
      <w:pPr>
        <w:pStyle w:val="Normal"/>
        <w:rPr/>
      </w:pPr>
      <w:r>
        <w:rPr>
          <w:rStyle w:val="Def"/>
        </w:rPr>
        <w:t xml:space="preserve">Рассмотрим в статье судебную систему Российской империи. </w:t>
      </w:r>
    </w:p>
    <w:p>
      <w:pPr>
        <w:pStyle w:val="Normal"/>
        <w:rPr>
          <w:rStyle w:val="Def"/>
        </w:rPr>
      </w:pPr>
      <w:r>
        <w:rPr/>
      </w:r>
    </w:p>
    <w:p>
      <w:pPr>
        <w:pStyle w:val="Normal"/>
        <w:rPr/>
      </w:pPr>
      <w:r>
        <w:rPr>
          <w:rStyle w:val="Def"/>
        </w:rPr>
        <w:t xml:space="preserve">Уголовный процесс </w:t>
      </w:r>
    </w:p>
    <w:p>
      <w:pPr>
        <w:pStyle w:val="Normal"/>
        <w:rPr>
          <w:rStyle w:val="Def"/>
        </w:rPr>
      </w:pPr>
      <w:r>
        <w:rPr/>
      </w:r>
    </w:p>
    <w:p>
      <w:pPr>
        <w:pStyle w:val="Normal"/>
        <w:rPr/>
      </w:pPr>
      <w:r>
        <w:rPr>
          <w:rStyle w:val="Def"/>
        </w:rPr>
        <w:t xml:space="preserve">Первой стадией уголовного процесса было полицейское дознание. Дознание предпринималось в случаях, если: </w:t>
      </w:r>
    </w:p>
    <w:p>
      <w:pPr>
        <w:pStyle w:val="Normal"/>
        <w:rPr/>
      </w:pPr>
      <w:r>
        <w:rPr>
          <w:rStyle w:val="Def"/>
        </w:rPr>
        <w:t xml:space="preserve">полиция не была уверена в наличии события преступления, </w:t>
      </w:r>
    </w:p>
    <w:p>
      <w:pPr>
        <w:pStyle w:val="Normal"/>
        <w:rPr/>
      </w:pPr>
      <w:r>
        <w:rPr>
          <w:rStyle w:val="Def"/>
        </w:rPr>
        <w:t xml:space="preserve">была необходимость в неотложных мерах (например, преступник мог скрыться). </w:t>
      </w:r>
    </w:p>
    <w:p>
      <w:pPr>
        <w:pStyle w:val="Normal"/>
        <w:rPr/>
      </w:pPr>
      <w:r>
        <w:rPr>
          <w:rStyle w:val="Def"/>
        </w:rPr>
        <w:t xml:space="preserve">В ходе дознания полиция не проводила формальных допросов, не могла производить обыски и выемки. Судебный следователь извещался о начале дознания в течение суток. С прибытием следователя дознание превращалось в предварительное следствие, и вся оперативная деятельность полиции по раскрытию преступления проходила под его руководством. </w:t>
      </w:r>
    </w:p>
    <w:p>
      <w:pPr>
        <w:pStyle w:val="Normal"/>
        <w:rPr/>
      </w:pPr>
      <w:r>
        <w:rPr>
          <w:rStyle w:val="Def"/>
        </w:rPr>
        <w:t xml:space="preserve">Судебный следователь являлся единоличной властью и был процессуально независимым. Он мог начать следствие по сообщению полиции, должностных лиц и казенных учреждений, по жалобам частных лиц, по предписанию прокурора, по явке с повинной и по собственному усмотрению. Начало следствия по жалобе потерпевшего (в отличие от жалоб прочих лиц) было обязательным. </w:t>
      </w:r>
    </w:p>
    <w:p>
      <w:pPr>
        <w:pStyle w:val="Normal"/>
        <w:rPr/>
      </w:pPr>
      <w:r>
        <w:rPr>
          <w:rStyle w:val="Def"/>
        </w:rPr>
        <w:t xml:space="preserve">Закон предусматривал очевидный набор следственных действий: </w:t>
      </w:r>
    </w:p>
    <w:p>
      <w:pPr>
        <w:pStyle w:val="Normal"/>
        <w:rPr/>
      </w:pPr>
      <w:r>
        <w:rPr>
          <w:rStyle w:val="Def"/>
        </w:rPr>
        <w:t xml:space="preserve">допрос обвиняемых и свидетелей, </w:t>
      </w:r>
    </w:p>
    <w:p>
      <w:pPr>
        <w:pStyle w:val="Normal"/>
        <w:rPr/>
      </w:pPr>
      <w:r>
        <w:rPr>
          <w:rStyle w:val="Def"/>
        </w:rPr>
        <w:t xml:space="preserve">личный досмотр, </w:t>
      </w:r>
    </w:p>
    <w:p>
      <w:pPr>
        <w:pStyle w:val="Normal"/>
        <w:rPr/>
      </w:pPr>
      <w:r>
        <w:rPr>
          <w:rStyle w:val="Def"/>
        </w:rPr>
        <w:t xml:space="preserve">осмотр места происшествия, </w:t>
      </w:r>
    </w:p>
    <w:p>
      <w:pPr>
        <w:pStyle w:val="Normal"/>
        <w:rPr/>
      </w:pPr>
      <w:r>
        <w:rPr>
          <w:rStyle w:val="Def"/>
        </w:rPr>
        <w:t xml:space="preserve">обыск, </w:t>
      </w:r>
    </w:p>
    <w:p>
      <w:pPr>
        <w:pStyle w:val="Normal"/>
        <w:rPr/>
      </w:pPr>
      <w:r>
        <w:rPr>
          <w:rStyle w:val="Def"/>
        </w:rPr>
        <w:t xml:space="preserve">выемка, </w:t>
      </w:r>
    </w:p>
    <w:p>
      <w:pPr>
        <w:pStyle w:val="Normal"/>
        <w:rPr/>
      </w:pPr>
      <w:r>
        <w:rPr>
          <w:rStyle w:val="Def"/>
        </w:rPr>
        <w:t xml:space="preserve">судебно-медицинское освидетельствование, </w:t>
      </w:r>
    </w:p>
    <w:p>
      <w:pPr>
        <w:pStyle w:val="Normal"/>
        <w:rPr/>
      </w:pPr>
      <w:r>
        <w:rPr>
          <w:rStyle w:val="Def"/>
        </w:rPr>
        <w:t xml:space="preserve">получение заключения эксперта (сведущего лица). </w:t>
      </w:r>
    </w:p>
    <w:p>
      <w:pPr>
        <w:pStyle w:val="Normal"/>
        <w:rPr>
          <w:rStyle w:val="Def"/>
        </w:rPr>
      </w:pPr>
      <w:r>
        <w:rPr/>
      </w:r>
    </w:p>
    <w:p>
      <w:pPr>
        <w:pStyle w:val="Normal"/>
        <w:rPr/>
      </w:pPr>
      <w:r>
        <w:rPr>
          <w:rStyle w:val="Def"/>
        </w:rPr>
        <w:t xml:space="preserve">Было также возможно и дознание через окольных людей, то есть массовый опрос соседей, сослуживцев и тому подобных групп лиц. Результатом следствия была передача следственного производства прокурору без всяких выводов со стороны следствия. </w:t>
      </w:r>
    </w:p>
    <w:p>
      <w:pPr>
        <w:pStyle w:val="Normal"/>
        <w:rPr/>
      </w:pPr>
      <w:r>
        <w:rPr>
          <w:rStyle w:val="Def"/>
        </w:rPr>
        <w:t xml:space="preserve">Следователь не имел права самостоятельно прекратить следствие ни по какому поводу. Вместе с тем, он имел право заключить подследственного под стражу, взять от него подписку о явке, залог, отдать его под наблюдение полиции или поруки. При этом заключение под стражу допускалось лишь для обвиняемых в преступлениях, наказание за которые составляло более 16 месяцев. </w:t>
      </w:r>
    </w:p>
    <w:p>
      <w:pPr>
        <w:pStyle w:val="Normal"/>
        <w:rPr/>
      </w:pPr>
      <w:r>
        <w:rPr>
          <w:rStyle w:val="Def"/>
        </w:rPr>
        <w:t xml:space="preserve">Следующая стадия процесса именовалась преданием суду. Прокурор рассматривал дело и готовил либо обвинительное заключение, либо представление суду о прекращении дела. Дела меньшей тяжести принимались к производству окружными судами непосредственно, а дела по более тяжким преступлениям поступали в судебные палаты, где проходили через особое слушание — предание суду. Вопрос о предании суду рассматривался коллегией судей по докладу одного из них и последующему докладу прокурора без участия обвиняемого и его защиты, без вызова свидетелей и рассмотрения доказательств. </w:t>
      </w:r>
    </w:p>
    <w:p>
      <w:pPr>
        <w:pStyle w:val="Normal"/>
        <w:rPr/>
      </w:pPr>
      <w:r>
        <w:rPr>
          <w:rStyle w:val="Def"/>
        </w:rPr>
        <w:t xml:space="preserve">После принятия решения о предании суду дело передавалось в окружной суд. </w:t>
      </w:r>
    </w:p>
    <w:p>
      <w:pPr>
        <w:pStyle w:val="Normal"/>
        <w:rPr/>
      </w:pPr>
      <w:r>
        <w:rPr>
          <w:rStyle w:val="Def"/>
        </w:rPr>
        <w:t xml:space="preserve">Кроме дел публичного обвинения, существовал список преступлений, по которым допускалось частное обвинение (например, клевета). При частном обвинении не требовалось ни предварительного следствия, ни заключения прокурора, суд начинал действовать непосредственно по жалобе пострадавшего. Пострадавшие и третьи лица имели право участвовать в процессе в качестве самостоятельных гражданских истцов, заявляя к подсудимым свои требования независимо от обвинения. Лица, имевшие имущественные претензии к подсудимым, могли независимо от обвинения принимать участие в деле как гражданские истцы.  </w:t>
      </w:r>
    </w:p>
    <w:p>
      <w:pPr>
        <w:pStyle w:val="Normal"/>
        <w:rPr>
          <w:rStyle w:val="Def"/>
        </w:rPr>
      </w:pPr>
      <w:r>
        <w:rPr/>
      </w:r>
    </w:p>
    <w:p>
      <w:pPr>
        <w:pStyle w:val="Normal"/>
        <w:rPr/>
      </w:pPr>
      <w:r>
        <w:rPr>
          <w:rStyle w:val="Def"/>
        </w:rPr>
        <w:t xml:space="preserve">Гражданский процесс </w:t>
      </w:r>
    </w:p>
    <w:p>
      <w:pPr>
        <w:pStyle w:val="Normal"/>
        <w:rPr>
          <w:rStyle w:val="Def"/>
        </w:rPr>
      </w:pPr>
      <w:r>
        <w:rPr/>
      </w:r>
    </w:p>
    <w:p>
      <w:pPr>
        <w:pStyle w:val="Normal"/>
        <w:rPr/>
      </w:pPr>
      <w:r>
        <w:rPr>
          <w:rStyle w:val="Def"/>
        </w:rPr>
        <w:t xml:space="preserve">Гражданский процесс начинался с подачи иска в суд и вызова судом ответчика. Явиться в суд следовало в месячный срок плюс один день на каждые 50-300 верст расстояния от места нахождения ответчика до суда (в зависимости от доступности транспорта). Явившись в суд, ответчик должен был указать свой или своего поверенного адрес в городе нахождения суда, поэтому удаленность ответчика более не принималась во внимание. </w:t>
      </w:r>
    </w:p>
    <w:p>
      <w:pPr>
        <w:pStyle w:val="Normal"/>
        <w:rPr/>
      </w:pPr>
      <w:r>
        <w:rPr>
          <w:rStyle w:val="Def"/>
        </w:rPr>
        <w:t xml:space="preserve">Исковое прошение, которое истец должен был сопровождать всеми необходимыми документами, отправлялось судом ответчику. При этом последний был обязан дать в фиксированный срок письменный ответ на иск. Истец имел право дать на ответ возражение, а ответчик, в свою очередь, ответить на возражение опровержением. Достаточно длинная (8 недель) предварительная процедура гарантировала скорый суд, так как стороны и суд были уже ознакомлены с аргументами друг друга и основным комплексом письменных доказательств, а дальнейшее введение доказательств в дело могло происходить только по разрешению суда. </w:t>
      </w:r>
    </w:p>
    <w:p>
      <w:pPr>
        <w:pStyle w:val="Normal"/>
        <w:rPr/>
      </w:pPr>
      <w:r>
        <w:rPr>
          <w:rStyle w:val="Def"/>
        </w:rPr>
        <w:t xml:space="preserve">Истец не имел права увеличивать свои требования сверх заявленных. На подачу апелляционной жалобы отводилось 4 месяца. Апелляционный процесс по процедуре не отличался от суда первой инстанции, предварительная подготовка была короче — на апелляцию полагался только однократный отзыв. То что не было затронуто жалобой на этой стадии не рассматривалось. Апелляционный суд должен был либо подтвердить решение суда первой инстанции, либо постановить новое решение, самостоятельно разрешив все вопросы, причем отмена решения и возвращение его на новое рассмотрение не допускалось.  </w:t>
      </w:r>
    </w:p>
    <w:p>
      <w:pPr>
        <w:pStyle w:val="Normal"/>
        <w:rPr>
          <w:rStyle w:val="Def"/>
        </w:rPr>
      </w:pPr>
      <w:r>
        <w:rPr/>
      </w:r>
    </w:p>
    <w:p>
      <w:pPr>
        <w:pStyle w:val="Normal"/>
        <w:rPr/>
      </w:pPr>
      <w:r>
        <w:rPr>
          <w:rStyle w:val="Def"/>
        </w:rPr>
        <w:t xml:space="preserve">Особенности процесса в мировом суде </w:t>
      </w:r>
    </w:p>
    <w:p>
      <w:pPr>
        <w:pStyle w:val="Normal"/>
        <w:rPr>
          <w:rStyle w:val="Def"/>
        </w:rPr>
      </w:pPr>
      <w:r>
        <w:rPr/>
      </w:r>
    </w:p>
    <w:p>
      <w:pPr>
        <w:pStyle w:val="Normal"/>
        <w:rPr/>
      </w:pPr>
      <w:r>
        <w:rPr>
          <w:rStyle w:val="Def"/>
        </w:rPr>
        <w:t xml:space="preserve">Производство мирового суда было существенно упрощено и ускорено по сравнению с общими судами, с намерением максимально приблизить суд к населению. </w:t>
      </w:r>
    </w:p>
    <w:p>
      <w:pPr>
        <w:pStyle w:val="Normal"/>
        <w:rPr/>
      </w:pPr>
      <w:r>
        <w:rPr>
          <w:rStyle w:val="Def"/>
        </w:rPr>
        <w:t xml:space="preserve">Мировые судьи не были обязаны строго соблюдать все обряды судопроизводства, им следовало терпеливо выслушивать подсудимых, выступавших без адвокатов и разъяснять им судебную процедуру. Важным моментом была возможность начала дела в суде по устной жалобе, сообщенной судье. Указанная норма открывала суд для неграмотных. При этом судьям предписывалось стараться решать дела в один день. </w:t>
      </w:r>
    </w:p>
    <w:p>
      <w:pPr>
        <w:pStyle w:val="Normal"/>
        <w:rPr/>
      </w:pPr>
      <w:r>
        <w:rPr>
          <w:rStyle w:val="Def"/>
        </w:rPr>
        <w:t xml:space="preserve">Уголовный процесс в мировом суде начинался либо по жалобе потерпевшего, либо по сообщению полиции или административных учреждений. Предварительное следствие по делам подсудным мировым судьям, не производилось; прокуратура обвинение не поддерживала и обвинительных заключений суду не представляла. Предварительного представления доказательств подсудимым не требовалось, он мог предъявлять их суду в ходе заседания. </w:t>
      </w:r>
    </w:p>
    <w:p>
      <w:pPr>
        <w:pStyle w:val="Normal"/>
        <w:rPr/>
      </w:pPr>
      <w:r>
        <w:rPr>
          <w:rStyle w:val="Def"/>
        </w:rPr>
        <w:t>Гражданский процесс начинался по жалобе истца, копию которой суд направлял ответчику. Отзыва ответчика на иск, в отличие от общих судов, не полагалось. В случае, если обе стороны явились в суд вместе, судья мог начать разбирательство немедленно. По окончании представления доказательств истец и ответчик выступали с заключительными речами. Суд немедленно объявлял резолютивную часть решения, а в течение трех дней – полное решение.</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LibreOffice/6.0.3.2$Windows_X86_64 LibreOffice_project/8f48d515416608e3a835360314dac7e47fd0b821</Application>
  <Pages>3</Pages>
  <Words>807</Words>
  <Characters>5322</Characters>
  <CharactersWithSpaces>6133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2021-08-15T17:06:38Z</dcterms:created>
  <dc:creator/>
  <dc:description/>
  <dc:language>ru-RU</dc:language>
  <cp:lastModifiedBy/>
  <dcterms:modified xsi:type="dcterms:W3CDTF">2021-08-15T22:34:10Z</dcterms:modified>
  <cp:revision>1</cp:revision>
  <dc:subject/>
  <dc:title/>
</cp:coreProperties>
</file>