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008_word</w:t>
      </w:r>
    </w:p>
    <w:p>
      <w:pPr>
        <w:pStyle w:val="FirstParagraph"/>
        <w:spacing w:before="180" w:after="180"/>
        <w:rPr/>
      </w:pPr>
      <w:r>
        <w:rPr/>
        <w:t>My report starts here.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Condensed">
    <w:charset w:val="01"/>
    <w:family w:val="swiss"/>
    <w:pitch w:val="variable"/>
  </w:font>
  <w:font w:name="DejaVu Math TeX Gyr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>
      <w:rFonts w:ascii="DejaVu Sans Condensed" w:hAnsi="DejaVu Sans Condensed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DejaVu Math TeX Gyre" w:hAnsi="DejaVu Math TeX Gyre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LibreOffice/7.3.7.2$Linux_X86_64 LibreOffice_project/30$Build-2</Application>
  <AppVersion>15.0000</AppVersion>
  <Pages>1</Pages>
  <Words>5</Words>
  <Characters>27</Characters>
  <CharactersWithSpaces>30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2024-12-31T20:59:16Z</dcterms:created>
  <dc:creator/>
  <dc:description/>
  <dc:language>en-US</dc:language>
  <cp:lastModifiedBy/>
  <dcterms:modified xsi:type="dcterms:W3CDTF">2024-12-31T22:38:59Z</dcterms:modified>
  <cp:revision>1</cp:revision>
  <dc:subject/>
  <dc:title>008_word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