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07</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Diagrama de casos de uso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arquitectura</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Carta Gantt</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br w:type="textWrapping"/>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reunión se tomó como prioridad la arquitectura del sistema para así lograr tener claro el sistema completo, también se realizó una revisión en general de los diagramas de casos de usos, para asegurar que estén correctos, por último se definió la carta gantt para todas las fases, por lo que de esta manera se definen los días en los cuales se trabajan tales tareas en el proyecto, por lo que era prioridad el terminarla.</w:t>
            </w:r>
          </w:p>
        </w:tc>
      </w:tr>
      <w:tr>
        <w:trPr>
          <w:cantSplit w:val="0"/>
          <w:trHeight w:val="4820" w:hRule="atLeast"/>
          <w:tblHeader w:val="0"/>
        </w:trPr>
        <w:tc>
          <w:tcPr>
            <w:vAlign w:val="top"/>
          </w:tcPr>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Hubo complicaciones con las fechas ya que ciertos días no calzaban con los documentos de acta de reunión anteriores.</w:t>
            </w: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76">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7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7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Creación de arquitectura</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Alex Pedreros</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días</w:t>
            </w:r>
            <w:r w:rsidDel="00000000" w:rsidR="00000000" w:rsidRPr="00000000">
              <w:rPr>
                <w:rtl w:val="0"/>
              </w:rPr>
            </w:r>
          </w:p>
        </w:tc>
        <w:tc>
          <w:tcPr>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Diagrama de actividades</w:t>
            </w: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Francisco Sarmiento</w:t>
            </w:r>
            <w:r w:rsidDel="00000000" w:rsidR="00000000" w:rsidRPr="00000000">
              <w:rPr>
                <w:rtl w:val="0"/>
              </w:rPr>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 semana</w:t>
            </w:r>
            <w:r w:rsidDel="00000000" w:rsidR="00000000" w:rsidRPr="00000000">
              <w:rPr>
                <w:rtl w:val="0"/>
              </w:rPr>
            </w:r>
          </w:p>
        </w:tc>
        <w:tc>
          <w:tcPr>
            <w:vAlign w:val="top"/>
          </w:tcPr>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C">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1">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7">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3">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US000Fskx79Q15PYI59g1jOBgw==">CgMxLjA4AHIhMTZqOGdjYVpadVZqbEpPbFRnM1J0SF9sTWtfMlliamZX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