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DDDDD" w:sz="4"/>
        </w:pBdr>
        <w:spacing w:after="160" w:before="0"/>
      </w:pPr>
      <w:r>
        <w:rPr>
          <w:b/>
          <w:bCs/>
          <w:color w:val="1C5D33"/>
          <w:sz w:val="22"/>
          <w:szCs w:val="22"/>
        </w:rPr>
        <w:t xml:space="preserve">目录</w:t>
      </w:r>
    </w:p>
    <w:p>
      <w:pPr>
        <w:spacing w:after="80" w:before="0" w:line="300"/>
        <w:ind w:left="0"/>
      </w:pPr>
      <w:r>
        <w:rPr>
          <w:color w:val="282828"/>
          <w:sz w:val="22"/>
          <w:szCs w:val="22"/>
        </w:rPr>
        <w:t xml:space="preserve">导出 Smoke 验收文档</w:t>
      </w:r>
    </w:p>
    <w:p>
      <w:pPr>
        <w:spacing w:after="80" w:before="0" w:line="300"/>
        <w:ind w:left="240"/>
      </w:pPr>
      <w:r>
        <w:rPr>
          <w:color w:val="282828"/>
          <w:sz w:val="22"/>
          <w:szCs w:val="22"/>
        </w:rPr>
        <w:t xml:space="preserve">表格与任务</w:t>
      </w:r>
    </w:p>
    <w:p>
      <w:pPr>
        <w:spacing w:after="80" w:before="0" w:line="300"/>
        <w:ind w:left="240"/>
      </w:pPr>
      <w:r>
        <w:rPr>
          <w:color w:val="282828"/>
          <w:sz w:val="22"/>
          <w:szCs w:val="22"/>
        </w:rPr>
        <w:t xml:space="preserve">代码</w:t>
      </w:r>
    </w:p>
    <w:p>
      <w:pPr>
        <w:spacing w:after="80" w:before="0" w:line="300"/>
        <w:ind w:left="240"/>
      </w:pPr>
      <w:r>
        <w:rPr>
          <w:color w:val="282828"/>
          <w:sz w:val="22"/>
          <w:szCs w:val="22"/>
        </w:rPr>
        <w:t xml:space="preserve">Mermaid</w:t>
      </w:r>
    </w:p>
    <w:p>
      <w:pPr>
        <w:spacing w:after="80" w:before="0" w:line="300"/>
        <w:ind w:left="240"/>
      </w:pPr>
      <w:r>
        <w:rPr>
          <w:color w:val="282828"/>
          <w:sz w:val="22"/>
          <w:szCs w:val="22"/>
        </w:rPr>
        <w:t xml:space="preserve">KaTeX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60" w:before="360"/>
      </w:pPr>
      <w:r>
        <w:t xml:space="preserve">导出 Smoke 验收文档</w:t>
      </w:r>
    </w:p>
    <w:p>
      <w:pPr>
        <w:spacing w:after="180" w:line="330"/>
      </w:pPr>
      <w:r>
        <w:t xml:space="preserve">这是一段中文长文内容，用于验证 Prism 的复杂导出。English words 与中文混排，行内公式 </w:t>
      </w:r>
      <w:r>
        <w:drawing>
          <wp:inline distT="0" distB="0" distL="0" distR="0">
            <wp:extent cx="2286000" cy="762000"/>
            <wp:effectExtent t="0" r="0" b="0" l="0"/>
            <wp:docPr id="1" name="Inline math" descr="E = mc^2" title="Inline 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应该正常渲染。</w:t>
      </w:r>
    </w:p>
    <w:p>
      <w:pPr>
        <w:spacing w:after="180" w:line="330"/>
      </w:pPr>
      <w:r>
        <w:t xml:space="preserve">引用占位：[@doe2024]。如果 Pandoc 未检测成功，导出应保留 citekey 占位并给出 warning，不应崩溃。</w:t>
      </w:r>
    </w:p>
    <w:p>
      <w:pPr>
        <w:spacing w:after="180" w:line="330"/>
      </w:pPr>
      <w:r>
        <w:rPr>
          <w:i/>
          <w:iCs/>
          <w:color w:val="6F6F6F"/>
        </w:rPr>
        <w:t xml:space="preserve">本地图片</w:t>
      </w:r>
    </w:p>
    <w:p>
      <w:pPr>
        <w:pStyle w:val="Heading2"/>
        <w:spacing w:after="160" w:before="360"/>
      </w:pPr>
      <w:r>
        <w:t xml:space="preserve">表格与任务</w:t>
      </w:r>
    </w:p>
    <w:tbl>
      <w:tblPr>
        <w:tblW w:type="dxa" w:w="9866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  <w:tblLayout w:type="fixed"/>
      </w:tblPr>
      <w:tblGrid>
        <w:gridCol w:w="3288"/>
        <w:gridCol w:w="3288"/>
        <w:gridCol w:w="3288"/>
      </w:tblGrid>
      <w:tr>
        <w:trPr>
          <w:cantSplit/>
        </w:trPr>
        <w:tc>
          <w:tcPr>
            <w:tcW w:type="dxa" w:w="32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32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</w:rPr>
              <w:t xml:space="preserve">期望</w:t>
            </w:r>
          </w:p>
        </w:tc>
        <w:tc>
          <w:tcPr>
            <w:tcW w:type="dxa" w:w="32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</w:rPr>
              <w:t xml:space="preserve">中文</w:t>
            </w:r>
          </w:p>
        </w:tc>
        <w:tc>
          <w:tcPr>
            <w:tcW w:type="dxa" w:w="32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</w:rPr>
              <w:t xml:space="preserve">保留中文字符</w:t>
            </w:r>
          </w:p>
        </w:tc>
        <w:tc>
          <w:tcPr>
            <w:tcW w:type="dxa" w:w="32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</w:rPr>
              <w:t xml:space="preserve">表格</w:t>
            </w:r>
          </w:p>
        </w:tc>
        <w:tc>
          <w:tcPr>
            <w:tcW w:type="dxa" w:w="32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</w:rPr>
              <w:t xml:space="preserve">保留表格结构</w:t>
            </w:r>
          </w:p>
        </w:tc>
        <w:tc>
          <w:tcPr>
            <w:tcW w:type="dxa" w:w="32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</w:rPr>
              <w:t xml:space="preserve">Mermaid</w:t>
            </w:r>
          </w:p>
        </w:tc>
        <w:tc>
          <w:tcPr>
            <w:tcW w:type="dxa" w:w="32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</w:rPr>
              <w:t xml:space="preserve">导出为图表或图片</w:t>
            </w:r>
          </w:p>
        </w:tc>
        <w:tc>
          <w:tcPr>
            <w:tcW w:type="dxa" w:w="328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0" w:before="0" w:line="300"/>
            </w:pPr>
            <w:r>
              <w:rPr>
                <w:b w:val="false"/>
                <w:bCs w:val="false"/>
              </w:rPr>
              <w:t xml:space="preserve">待检</w:t>
            </w:r>
          </w:p>
        </w:tc>
      </w:tr>
    </w:tbl>
    <w:p>
      <w:pPr>
        <w:spacing w:after="100" w:line="330"/>
        <w:ind w:left="360" w:hanging="240"/>
      </w:pPr>
      <w:r>
        <w:rPr>
          <w:color w:val="1C5D33"/>
        </w:rPr>
        <w:t xml:space="preserve">☑ </w:t>
      </w:r>
      <w:r>
        <w:t xml:space="preserve">已完成的任务</w:t>
      </w:r>
    </w:p>
    <w:p>
      <w:pPr>
        <w:spacing w:after="100" w:line="330"/>
        <w:ind w:left="360" w:hanging="240"/>
      </w:pPr>
      <w:r>
        <w:rPr>
          <w:color w:val="1C5D33"/>
        </w:rPr>
        <w:t xml:space="preserve">☐ </w:t>
      </w:r>
      <w:r>
        <w:t xml:space="preserve">待完成的任务</w:t>
      </w:r>
    </w:p>
    <w:p>
      <w:pPr>
        <w:pBdr>
          <w:left w:val="single" w:color="1C5D33" w:sz="12" w:space="12"/>
        </w:pBdr>
        <w:shd w:fill="F7F7F7" w:val="clear"/>
        <w:spacing w:after="180" w:before="120" w:line="330"/>
        <w:ind w:left="360"/>
      </w:pPr>
      <w:r>
        <w:t xml:space="preserve">引用块应该有明确层级，不能贴边或丢失正文。</w:t>
      </w:r>
    </w:p>
    <w:p>
      <w:pPr>
        <w:pStyle w:val="Heading2"/>
        <w:spacing w:after="160" w:before="360"/>
      </w:pPr>
      <w:r>
        <w:t xml:space="preserve">代码</w:t>
      </w:r>
    </w:p>
    <w:tbl>
      <w:tblPr>
        <w:tblW w:type="dxa" w:w="9866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none" w:color="F7F7F7" w:sz="0"/>
          <w:insideV w:val="none" w:color="F7F7F7" w:sz="0"/>
        </w:tblBorders>
        <w:tblLayout w:type="fixed"/>
      </w:tblPr>
      <w:tblGrid>
        <w:gridCol w:w="9866"/>
      </w:tblGrid>
      <w:tr>
        <w:tc>
          <w:tcPr>
            <w:tcW w:type="dxa" w:w="9866"/>
            <w:shd w:fill="F7F7F7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Menlo" w:cs="Menlo" w:eastAsia="Menlo" w:hAnsi="Menlo"/>
                <w:noProof/>
                <w:sz w:val="18"/>
                <w:szCs w:val="18"/>
              </w:rPr>
              <w:t xml:space="preserve">const title = 'Prism Export Smoke';</w:t>
            </w:r>
            <w:r>
              <w:rPr>
                <w:rFonts w:ascii="Menlo" w:cs="Menlo" w:eastAsia="Menlo" w:hAnsi="Menlo"/>
                <w:noProof/>
                <w:sz w:val="18"/>
                <w:szCs w:val="18"/>
              </w:rPr>
              <w:br/>
              <w:t xml:space="preserve">console.log(title);</w:t>
            </w:r>
          </w:p>
        </w:tc>
      </w:tr>
    </w:tbl>
    <w:p>
      <w:pPr>
        <w:pStyle w:val="Heading2"/>
        <w:spacing w:after="160" w:before="360"/>
      </w:pPr>
      <w:r>
        <w:t xml:space="preserve">Mermaid</w:t>
      </w:r>
    </w:p>
    <w:p>
      <w:pPr>
        <w:spacing w:after="220" w:before="180"/>
        <w:jc w:val="center"/>
      </w:pPr>
      <w:r>
        <w:drawing>
          <wp:inline distT="0" distB="0" distL="0" distR="0">
            <wp:extent cx="6191250" cy="1466850"/>
            <wp:effectExtent t="0" r="0" b="0" l="0"/>
            <wp:docPr id="2" name="Mermaid diagram" descr="Mermaid diagram exported from Prism" titl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360"/>
      </w:pPr>
      <w:r>
        <w:t xml:space="preserve">KaTeX</w:t>
      </w:r>
    </w:p>
    <w:p>
      <w:pPr>
        <w:spacing w:after="220" w:before="180"/>
        <w:jc w:val="center"/>
      </w:pPr>
      <w:r>
        <w:drawing>
          <wp:inline distT="0" distB="0" distL="0" distR="0">
            <wp:extent cx="4762500" cy="1123950"/>
            <wp:effectExtent t="0" r="0" b="0" l="0"/>
            <wp:docPr id="3" name="Math formula" descr="\int_0^1 x^2 dx = \frac{1}{3}" title="Math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020" w:right="1020" w:bottom="1134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  <w:jc w:val="left"/>
    </w:pPr>
    <w:r>
      <w:rPr>
        <w:rFonts w:ascii="Kaiti SC" w:cs="Kaiti SC" w:eastAsia="Kaiti SC" w:hAnsi="Kaiti SC"/>
        <w:color w:val="737373"/>
        <w:sz w:val="18"/>
        <w:szCs w:val="18"/>
      </w:rPr>
      <w:t xml:space="preserve">complex-export.md · </w:t>
    </w:r>
    <w:r>
      <w:rPr>
        <w:rFonts w:ascii="Kaiti SC" w:cs="Kaiti SC" w:eastAsia="Kaiti SC" w:hAnsi="Kaiti SC"/>
        <w:color w:val="73737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Kaiti SC" w:cs="Kaiti SC" w:eastAsia="Kaiti SC" w:hAnsi="Kaiti SC"/>
        <w:color w:val="737373"/>
        <w:sz w:val="18"/>
        <w:szCs w:val="18"/>
      </w:rPr>
      <w:t xml:space="preserve">/</w:t>
    </w:r>
    <w:r>
      <w:rPr>
        <w:rFonts w:ascii="Kaiti SC" w:cs="Kaiti SC" w:eastAsia="Kaiti SC" w:hAnsi="Kaiti SC"/>
        <w:color w:val="73737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rPr>
        <w:rFonts w:ascii="Kaiti SC" w:cs="Kaiti SC" w:eastAsia="Kaiti SC" w:hAnsi="Kaiti SC"/>
        <w:color w:val="737373"/>
        <w:sz w:val="18"/>
        <w:szCs w:val="18"/>
      </w:rPr>
      <w:t xml:space="preserve">导出 Smoke 验收文档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iti SC" w:cs="Kaiti SC" w:eastAsia="Kaiti SC" w:hAnsi="Kaiti SC"/>
        <w:color w:val="282828"/>
        <w:sz w:val="24"/>
        <w:szCs w:val="24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</w:pPr>
    <w:rPr>
      <w:rFonts w:ascii="Kaiti SC" w:cs="Kaiti SC" w:eastAsia="Kaiti SC" w:hAnsi="Kaiti SC"/>
      <w:b w:val="false"/>
      <w:bCs w:val="false"/>
      <w:color w:val="1C5D3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60"/>
    </w:pPr>
    <w:rPr>
      <w:rFonts w:ascii="Kaiti SC" w:cs="Kaiti SC" w:eastAsia="Kaiti SC" w:hAnsi="Kaiti SC"/>
      <w:b w:val="false"/>
      <w:bCs w:val="false"/>
      <w:color w:val="1C5D3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300"/>
    </w:pPr>
    <w:rPr>
      <w:rFonts w:ascii="Kaiti SC" w:cs="Kaiti SC" w:eastAsia="Kaiti SC" w:hAnsi="Kaiti SC"/>
      <w:b w:val="false"/>
      <w:bCs w:val="false"/>
      <w:color w:val="1C5D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810f84646f55799f287b584670b172000b726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2026-07-07T16:37:40.362Z</dcterms:created>
  <dcterms:modified xsi:type="dcterms:W3CDTF">2026-07-07T16:37:40.362Z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