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№ 4 к Альбому форм</w:t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ЗАЯВЛЕНИЕ О ПРИСОЕДИНЕНИИ </w:t>
      </w:r>
    </w:p>
    <w:tbl>
      <w:tblPr>
        <w:tblStyle w:val="Table1"/>
        <w:tblW w:w="11086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86"/>
        <w:tblGridChange w:id="0">
          <w:tblGrid>
            <w:gridCol w:w="11086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СВЕДЕНИЯ О ПРЕДПРИЯТИИ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Наименование: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ИНДИВИДУАЛЬНЫЙ ПРЕДПРИНИМАТЕЛЬ ЖУКОВА ВАЛЕНТИНА СЕРГЕЕВНА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(указывается полное наименование в соответствии с учредительными документами)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ИНН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: 910207662587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КПП: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ОГРН: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326911200014188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Дата выдачи ОГРН: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06.02.2026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Род деятельности Предприятия: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ФастФуд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Банковский счет: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40802810952720027078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Кредитная организация: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ЮГО-ЗАПАДНЫЙ БАНК ПАО СБЕРБАНК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БИК Кредитной организации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046015602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К\С Кредитной организации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30101810600000000602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Адрес регистрации: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295022, РОССИЯ, КРЫМ РЕСП, Г СИМФЕРОПОЛЬ, УЛ БЕЛА КУНА, Д 21 КВ 136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                 (указывается адрес по месту государственной регистрации Предприятия)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Почтовый адрес: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295022, РОССИЯ, КРЫМ РЕСП, Г СИМФЕРОПОЛЬ, УЛ БЕЛА КУНА, Д 21 КВ 136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            (указывается фактический (почтовый) адрес Предприятия (в случае отличия от адреса регистрации))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Контактный телефон: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79781196393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yapuchay@mail.ru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      e-mail: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yapuchay@mail.ru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         (e-mail для получения корреспонденции)                                                                    (e—mail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для запросов по финансовым операциям)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sz w:val="14"/>
                <w:szCs w:val="14"/>
                <w:u w:val="singl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Предприятие в лице </w:t>
            </w:r>
            <w:r w:rsidDel="00000000" w:rsidR="00000000" w:rsidRPr="00000000">
              <w:rPr>
                <w:sz w:val="14"/>
                <w:szCs w:val="14"/>
                <w:u w:val="single"/>
                <w:rtl w:val="0"/>
              </w:rPr>
              <w:t xml:space="preserve">ЖУКОВА ВАЛЕНТИНА СЕРГЕЕВНА,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(указывается Фамилия, Имя, Отчество, должность руководителя/уполномоченного представителя Предприятия/доверенного лица Предприятия/статус физического лица, осуществляющего предпринимательскую деятельность/занимающегося частной практикой) действующего на основании Свидетельства о регистрации (указывается наименование документа – Устав, Доверенность, иной соответствующий документ), в соответствии со ст. 428 ГК РФ присоединяется:</w:t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0"/>
              </w:tabs>
              <w:spacing w:before="2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2.1.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☑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 Условиям проведения  расчетов по операциям оплаты товаров/услуг на условиях непубличных тарифов (далее – Условия), Условиям проведения расчетов по операциям с использованием системы быстрых платежей (далее – Условия СБП), Условиям взаимодействия сторон при подключении услуги кредитования физических лиц для оплаты товаров и/или услуг (далее – Условия взаимодействия сторон).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0"/>
              </w:tabs>
              <w:spacing w:after="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Просит Банк на основании настоящего Заявления на указанных Условиях, Условиях СБП, Условиях взаимодействия сторон Банка заключить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Договор на проведение расчетов по операциям оплаты товаров/услуг на условиях непубличных тарифов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(далее – Договор)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и подключить следующие услуги: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Комплекс решений «Продавай со Сбером»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: Торговый эквайринг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QR-код + Bluetooth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+ СБП + Покупки в кредит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с использованием:</w:t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Электронный терминал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Смарт-терминал: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Смарт- POS; ☐ Эвотор+;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POS-система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0"/>
              </w:tabs>
              <w:spacing w:before="2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2.2.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☐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 Условиям проведения  расчетов по операциям оплаты товаров/услуг на условиях непубличных тарифов (далее – Условия), Условиям проведения расчетов по операциям с использованием системы быстрых платежей (далее – Условия СБП).</w:t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0"/>
              </w:tabs>
              <w:spacing w:after="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2.3.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Просит Банк на основании настоящего Заявления на указанных Условиях заключить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Договор на проведение расчетов по операциям оплаты товаров/услуг на условиях непубличных тарифов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(далее – Договор), Условиях СБП заключить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Договор</w:t>
            </w: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на проведение расчетов между ПАО Сбербанк и Предприятием по операциям с использованием Системы быстрых платежей (СБП)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(далее – Договор СБП)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и подключить следующие услуги: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Комплекс решений «Оплата+СберЧаевые»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7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: Интернет-эквайринг + SberPay Online + СБП</w:t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2.4.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 Условиям проведения  расчетов по операциям оплаты товаров/услуг на условиях непубличных тарифов (далее – Условия).</w:t>
            </w:r>
          </w:p>
          <w:p w:rsidR="00000000" w:rsidDel="00000000" w:rsidP="00000000" w:rsidRDefault="00000000" w:rsidRPr="00000000" w14:paraId="0000001F">
            <w:pPr>
              <w:spacing w:after="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Просит Банк на основании настоящего Заявления на указанных Условиях Банка заключить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Договор на проведение расчетов по операциям оплаты товаров/услуг на условиях непубличных тарифов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(далее – Договор) и подключить следующие услуги: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Торговый эквайринг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8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+ Электронный  терминал + QR-код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9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+ Bluetooth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Интернет-эквайринг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SberPay Online + Платежные решения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1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Интернет сайт                  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http://__________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Мобильное приложение 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http://__________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SberPay Online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☐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Интернет сайт                  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http://__________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☐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Мобильное приложение 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http://__________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QR-код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 Торговый автомат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Торговый эквайринг + Cмарт-терминал + QR-код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4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+ Bluetooth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Смарт-терминал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6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: ☐ Смарт-POS;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Эвотор+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POS-система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 Торговый автомат ЛК Эвотор </w:t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2.5.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к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Тарифам: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за сервисное обслуживание Смарт-терминалов, размещенным на Официальном сайте Банка (в том числе НДС)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☑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СБП, размещенным на Официальном сайте Банка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18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(НДС не облагается)</w:t>
            </w:r>
          </w:p>
          <w:p w:rsidR="00000000" w:rsidDel="00000000" w:rsidP="00000000" w:rsidRDefault="00000000" w:rsidRPr="00000000" w14:paraId="00000031">
            <w:pPr>
              <w:spacing w:after="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указанным в настоящем Заявлении (НДС исчисляется сверх установленного Тарифа): </w:t>
            </w:r>
          </w:p>
          <w:tbl>
            <w:tblPr>
              <w:tblStyle w:val="Table2"/>
              <w:tblW w:w="11396.999999999998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177"/>
              <w:gridCol w:w="1842"/>
              <w:gridCol w:w="2127"/>
              <w:gridCol w:w="1271"/>
              <w:gridCol w:w="1280"/>
              <w:gridCol w:w="2700"/>
              <w:tblGridChange w:id="0">
                <w:tblGrid>
                  <w:gridCol w:w="2177"/>
                  <w:gridCol w:w="1842"/>
                  <w:gridCol w:w="2127"/>
                  <w:gridCol w:w="1271"/>
                  <w:gridCol w:w="1280"/>
                  <w:gridCol w:w="2700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32">
                  <w:pPr>
                    <w:pBdr>
                      <w:bottom w:color="ffffff" w:space="1" w:sz="6" w:val="single"/>
                    </w:pBdr>
                    <w:ind w:left="-80" w:right="-108" w:firstLine="0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Наименование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33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Торговый эквайринг,</w:t>
                  </w:r>
                </w:p>
                <w:p w:rsidR="00000000" w:rsidDel="00000000" w:rsidP="00000000" w:rsidRDefault="00000000" w:rsidRPr="00000000" w14:paraId="00000034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Оплата по QR-коду, Bluetooth,</w:t>
                  </w:r>
                </w:p>
                <w:p w:rsidR="00000000" w:rsidDel="00000000" w:rsidP="00000000" w:rsidRDefault="00000000" w:rsidRPr="00000000" w14:paraId="00000035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SberPay FaceScan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36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Интернет-эквайринг + SberPay Online +</w:t>
                  </w:r>
                </w:p>
                <w:p w:rsidR="00000000" w:rsidDel="00000000" w:rsidP="00000000" w:rsidRDefault="00000000" w:rsidRPr="00000000" w14:paraId="00000037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Платежные решения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8">
                  <w:pPr>
                    <w:jc w:val="both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 Интернет-эквайринг</w:t>
                    <w:br w:type="textWrapping"/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white"/>
                      <w:rtl w:val="0"/>
                    </w:rPr>
                    <w:t xml:space="preserve">Оплата + СберЧаевые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6"/>
                      <w:szCs w:val="16"/>
                      <w:highlight w:val="white"/>
                      <w:vertAlign w:val="superscript"/>
                    </w:rPr>
                    <w:footnoteReference w:customMarkFollows="0" w:id="19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3A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SberPay Online</w:t>
                  </w:r>
                </w:p>
              </w:tc>
            </w:tr>
            <w:tr>
              <w:trPr>
                <w:cantSplit w:val="0"/>
                <w:trHeight w:val="236" w:hRule="atLeast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white"/>
                      <w:rtl w:val="0"/>
                    </w:rPr>
                    <w:t xml:space="preserve">Интернет-</w:t>
                  </w:r>
                  <w:r w:rsidDel="00000000" w:rsidR="00000000" w:rsidRPr="00000000">
                    <w:rPr>
                      <w:rFonts w:ascii="SB Sans Text" w:cs="SB Sans Text" w:eastAsia="SB Sans Text" w:hAnsi="SB Sans Text"/>
                      <w:b w:val="1"/>
                      <w:bCs w:val="1"/>
                      <w:sz w:val="16"/>
                      <w:szCs w:val="16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white"/>
                      <w:rtl w:val="0"/>
                    </w:rPr>
                    <w:t xml:space="preserve">эквайринг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white"/>
                      <w:rtl w:val="0"/>
                    </w:rPr>
                    <w:t xml:space="preserve">SberPay</w:t>
                  </w:r>
                  <w:r w:rsidDel="00000000" w:rsidR="00000000" w:rsidRPr="00000000">
                    <w:rPr>
                      <w:rFonts w:ascii="SB Sans Text" w:cs="SB Sans Text" w:eastAsia="SB Sans Text" w:hAnsi="SB Sans Text"/>
                      <w:b w:val="1"/>
                      <w:bCs w:val="1"/>
                      <w:sz w:val="16"/>
                      <w:szCs w:val="16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white"/>
                      <w:rtl w:val="0"/>
                    </w:rPr>
                    <w:t xml:space="preserve">Online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pBdr>
                      <w:bottom w:color="ffffff" w:space="1" w:sz="6" w:val="single"/>
                    </w:pBdr>
                    <w:ind w:left="-79" w:firstLine="0"/>
                    <w:jc w:val="both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Тариф по Платежным счетам и  картам 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Visa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vertAlign w:val="superscript"/>
                    </w:rPr>
                    <w:footnoteReference w:customMarkFollows="0" w:id="20"/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, MasterCard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vertAlign w:val="superscript"/>
                    </w:rPr>
                    <w:footnoteReference w:customMarkFollows="0" w:id="21"/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, МИР, JCB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vertAlign w:val="superscript"/>
                    </w:rPr>
                    <w:footnoteReference w:customMarkFollows="0" w:id="22"/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UnionPay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vertAlign w:val="superscript"/>
                    </w:rPr>
                    <w:footnoteReference w:customMarkFollows="0" w:id="23"/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 (% от суммы операции оплаты)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0.95%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pBdr>
                      <w:bottom w:color="ffffff" w:space="1" w:sz="6" w:val="single"/>
                    </w:pBdr>
                    <w:tabs>
                      <w:tab w:val="left" w:leader="none" w:pos="234"/>
                    </w:tabs>
                    <w:ind w:left="-108" w:firstLine="0"/>
                    <w:jc w:val="both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Тариф по дебетовым картам</w:t>
                  </w: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эмитированным ПАО Сбербанк, за проведение операции c использованием сервиса Покупки в кредит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16"/>
                      <w:szCs w:val="16"/>
                      <w:vertAlign w:val="superscript"/>
                    </w:rPr>
                    <w:footnoteReference w:customMarkFollows="0" w:id="24"/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(% от суммы операции оплаты)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vertAlign w:val="superscript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0.95%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before="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2.6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Соглашается с тем, что ПАО Сбербанк имеет право проверить сведения, содержащиеся в настоящем Заявлении и иных предоставленных Предприятием документах.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2.7. Подтверждает, что ознакомилось с Условиями, Условиями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25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Условиями взаимодействия сторон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26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Тарифами, Тарифами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27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размещенными на Официальном сайте ПАО Сбербанк http://www.sberbank.ru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28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понимает их текст, выражает свое согласие с ними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обязуется их выполнять и оплачивать услуги ПАО Сбербанк в соответствии с Тарифами, Тарифами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29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2.8.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Соглашается с тем, что настоящее Заявление в совокупности с Условиями, Условиями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0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Условиями взаимодействия сторон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1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Тарифами, Тарифами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2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размещенными на Официальном сайте ПАО Сбербанк, составляют заключенный между Предприятием и ПАО Сбербанк Договор. Информация о торгово-сервисной точке/ресурсе предоставляется ПАО Сбербанк в момент заключения Договора или внесения изменений в Информацию о торгово-сервисной точке/Ресурсе Предприятия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3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2.9. При подключении Комплекса решений «Продавай со Сбером» подтверждает, что для формирования кредитных заявок и оформления кредитных договоров в рамках сервиса «Покупки в кредит» использует программное обеспечение ПАО Сбербанк, обозначенное в Условиях взаимодействия сторон.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2.10. Дает ПАО Сбербанк согласие (заранее данный акцепт) списывать с банковского счета, указанного в настоящем Заявлении, плату за услуги ПАО Сбербанк, предусмотренные Тарифами, Тарифами СБП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4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Тарифами ПК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5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сумм задолженности Предприятия перед ПАО Сбербанк (при их наличии), любых иных платежей, предусмотренных Договором, без дополнительного распоряжения Предприятия.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2.11. Обязуется предоставлять ПАО Сбербанк по его запросам любые документы/информацию в целях исполнения ПАО Сбербанк законодательства РФ.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2.12.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Согласно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Не согласно на получение от ПАО Сбербанк телефонных и информационных сообщений, рекламно-информационных материалов, информации о новых продуктах/услугах по каналам связи, определенным Условиями.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УСЛОВИЯ ВЗАИМОДЕЙСТВИЯ СТОРОН ПРИ ПОДКЛЮЧЕНИИ УСЛУГИ  КРЕДИТОВАНИЯ ФИЗИЧЕСКИХ ЛИЦ ДЛЯ ОПЛАТЫ ТОВАРОВ И/ИЛИ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426"/>
              </w:tabs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3.1.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 «Условиям взаимодействия сторон при подключении услуги кредитования физических лиц для оплаты товаров и/или услуг» (далее – Условия взаимодействия сторон). Просит на указанных Условиях взаимодействия сторон заключить Договор на подключение услуги кредитования физических лиц для оплаты товаров и/или услуг» (далее – Договор взаимодействия сторон) на основании настоящего Заявления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vertAlign w:val="superscript"/>
              </w:rPr>
              <w:footnoteReference w:customMarkFollows="0" w:id="36"/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и подтверждает, что:</w:t>
            </w:r>
          </w:p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426"/>
              </w:tabs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3.2.  Подключил сервис «Покупки в кредит».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3.3. Ознакомился с Условиями взаимодействия сторон, размещенными на Официальном сайте ПАО Сбербанк http://www.sberbank.ru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7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понимает их текст, выражает свое согласие с ними, обязуется их выполнять, а также соглашается, что Заявление в совокупности с Условиями взаимодействия сторон составляют Договор о взаимодействии сторон.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3.4. В целях исполнения Договора о взаимодействии сторон для формирования кредитных заявок и оформления кредитных договоров использует программное обеспечение ПАО Сбербанк, обозначенное в Условиях взаимодействия сторон.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dark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darkGray"/>
                <w:u w:val="none"/>
                <w:vertAlign w:val="baseline"/>
                <w:rtl w:val="0"/>
              </w:rPr>
              <w:t xml:space="preserve">УСЛОВИЯ ПРОВЕДЕНИЯ РАСЧЕТОВ ПО ОПЕРАЦИЯМ С ИСПОЛЬЗОВАНИЕМ СИСТЕМЫ БЫСТРЫХ ПЛАТЕЖЕЙ (СБП)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0"/>
              </w:tabs>
              <w:jc w:val="both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4.1.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☐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 «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Условиям проведения расчетов по операциям с использованием системы быстрых платежей»</w:t>
            </w: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(далее – Условия).</w:t>
            </w:r>
          </w:p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0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Просит на указанных Условиях Банка заключить </w:t>
            </w: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Договор на проведение расчетов между ПАО Сбербанк и Предприятием по операциям с использованием Системы быстрых платежей (СБП) (далее - Договор)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на основании настоящего Заявления.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4.2. Подтверждает, что ознакомился с Условиями и Тарифами, размещенными на Официальном сайте ПАО Сбербанк </w:t>
            </w:r>
            <w:hyperlink r:id="rId8">
              <w:r w:rsidDel="00000000" w:rsidR="00000000" w:rsidRPr="00000000">
                <w:rPr>
                  <w:color w:val="0000ff"/>
                  <w:sz w:val="16"/>
                  <w:szCs w:val="16"/>
                  <w:u w:val="single"/>
                  <w:rtl w:val="0"/>
                </w:rPr>
                <w:t xml:space="preserve">http://www.sberbank.ru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понимает их текст, выражает свое согласие с ними, обязуется их выполнять и оплачивать услуги ПАО Сбербанк в соответствии с Тарифами. 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314"/>
              </w:tabs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4.3. Соглашается с тем, что настоящее Заявление в совокупности с Условиями и Тарифами, составляют заключенный между Предприятием и ПАО Сбербанк Договор.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4.4. Предоставляет ПАО Сбербанк согласие (заранее данный акцепт) на списание с банковского счета, открытого в ПАО Сбербанк и указанного в настоящем Заявлении, платы за услуги ПАО Сбербанк, предусмотренной Тарифами, сумм задолженности Предприятия перед ПАО Сбербанк (при их наличии), любых иных платежей, предусмотренных Договором, без дополнительного распоряжения Предприятия.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☐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Подключая QR СБП Агента, предоставляет ПАО Сбербанк: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согласие (заранее данный акцепт) на списание с банковского счета, открытого в ПАО Сбербанк и указанного в настоящем Заявлении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денежных средств в целях осуществления возврата денежных средств, переведенных Предприятию с использованием QR СБП Агента, зарегистрированного по поручению Предприятия Агентом ТСП, на основании информационных запросов Предприятия о выполнении возврата, поступающих Банку от АО «НСПК» через данного Агента ТСП;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-108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согласие на предоставление Агенту ТСП информации об Операциях, выполненных по счетам Предприятия с использованием QR СБП Агента, зарегистрированного данным Агентом ТСП, а также при возврате денежных средств на основании информационных запросов Предприятия о выполнении Операции возврата, переданных Банку от АО «НСПК» через данного Агента ТСП.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(МП (Предприятия)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vertAlign w:val="superscript"/>
              </w:rPr>
              <w:footnoteReference w:customMarkFollows="0" w:id="38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4562475</wp:posOffset>
                  </wp:positionH>
                  <wp:positionV relativeFrom="paragraph">
                    <wp:posOffset>114300</wp:posOffset>
                  </wp:positionV>
                  <wp:extent cx="1040448" cy="495451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38321" l="0" r="0" t="34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448" cy="495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4"/>
                <w:szCs w:val="14"/>
                <w:u w:val="single"/>
                <w:rtl w:val="0"/>
              </w:rPr>
              <w:t xml:space="preserve">ЖУКОВА ВАЛЕНТИНА СЕРГЕЕВНА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                                                                                                                                _________________________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11.02.2026.</w:t>
            </w:r>
          </w:p>
          <w:p w:rsidR="00000000" w:rsidDel="00000000" w:rsidP="00000000" w:rsidRDefault="00000000" w:rsidRPr="00000000" w14:paraId="0000006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(указывается ФИО руководителя/уполномоченного представителя Предприятия/доверенного лица Предприятия/ 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физического лица, осуществляющего предпринимательскую деятельность/занимающегося частной практикой)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shd w:fill="b3b3b3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ОТМЕТКИ ПАО СБЕРБАНК</w:t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ПАО Сбербанк</w:t>
            </w:r>
          </w:p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117997, Москва, ул. Вавилова, 19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(указывается номер/наименование, место нахождения ГОСБ по месту оформления Договора</w:t>
            </w: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Банк получателя Головное отделение по республике Крым БИК Банка получателя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Счет № Банка получателя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ИНН 7707083893         КПП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ПАО Сбербанк подтверждает факт заключения Договора №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52-9052-РБ-344503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от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11.02.2026.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Идентификацию Предприятия осуществил 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Информацию о ТСТ получил      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Документы получил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39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Выписка ЕГРИП/ЕГРЮЛ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40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Информационные сведения о Предприятии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41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Устав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4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Документы, подтверждающие полномочия единоличного исполнительного органа или иного уполномоченного лица Предприятия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4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☑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Копия документа, удостоверяющего личность руководителя Предприятия / уполномоченного представителя Предприятия/доверенного лица Предприятия/ физического лица, осуществляющего предпринимательскую деятельность/занимающегося частной практикой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perscript"/>
              </w:rPr>
              <w:footnoteReference w:customMarkFollows="0" w:id="4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В заключении Договора отказал </w:t>
            </w:r>
          </w:p>
          <w:p w:rsidR="00000000" w:rsidDel="00000000" w:rsidP="00000000" w:rsidRDefault="00000000" w:rsidRPr="00000000" w14:paraId="00000075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11.02.2026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 xml:space="preserve">            Менеджер по продажам продуктов канала - МПП            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_________/Урденко Никита Алексеевич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(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указывается должность уполномоченного работника ПАО Сбербанк 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(подпись/Фамилия, И.О.)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                                                       на заключение/внесение изменений в Договор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88" w:lineRule="auto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pgSz w:h="16838" w:w="11906" w:orient="portrait"/>
      <w:pgMar w:bottom="426" w:top="118" w:left="709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Liberation Sans"/>
  <w:font w:name="SB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Указывается для Предприятий, банковский счет которых открыт в другой кредитной организации. </w:t>
      </w:r>
    </w:p>
  </w:footnote>
  <w:footnote w:id="1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Комплекс решений «Продавай со Сбером» подключается при наличии технической возможности, если счет Предприятия для проведения расчетов по Договору открыт в Банке.</w:t>
      </w:r>
    </w:p>
  </w:footnote>
  <w:footnote w:id="2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В том числе с использованием SberPay FaceScan при наличии технической возможности.  </w:t>
      </w:r>
    </w:p>
  </w:footnote>
  <w:footnote w:id="3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4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5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В том числе Биометрический терминал при наличии технической возможности.</w:t>
      </w:r>
    </w:p>
  </w:footnote>
  <w:footnote w:id="6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7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Комплекс решений «Оплата+СберЧаевые» подключается Предприятию, зарегистрированному в Сервисе «СберЧаевые», при наличии технической возможности, если счет Предприятия для проведения расчетов по Договору открыт в Банке.</w:t>
      </w:r>
    </w:p>
  </w:footnote>
  <w:footnote w:id="8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В том числе с использованием SberPay FaceScan при наличии технической возможности.  </w:t>
      </w:r>
    </w:p>
  </w:footnote>
  <w:footnote w:id="9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10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11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12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Заполняется Предприятиями в случае если Банк не оказывает Предприятию услуги в рамках Интернет-эквайринга. </w:t>
      </w:r>
    </w:p>
  </w:footnote>
  <w:footnote w:id="13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Услуга предоставляется, если Банковский счет Предприятия открыт в Банке.</w:t>
      </w:r>
    </w:p>
  </w:footnote>
  <w:footnote w:id="14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Услуга «Торговый эквайринг+Смарт-терминал+QR-код» предоставляется, если Банковский счет Предприятия открыт в Банке.</w:t>
      </w:r>
    </w:p>
  </w:footnote>
  <w:footnote w:id="15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16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Предоставляется вместе с услугой «Торговый эквайринг+ Смарт-терминал+ QR-код».</w:t>
      </w:r>
    </w:p>
  </w:footnote>
  <w:footnote w:id="17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</w:t>
      </w:r>
    </w:p>
  </w:footnote>
  <w:footnote w:id="18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19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Сервис СберЧаевые -перевод денежных средств со счета Карты отправителя с зачислением суммы Перевода на счет Карты получателя перевода</w:t>
      </w:r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Для карт, эмитированных на территории Российской Федерации</w:t>
      </w:r>
    </w:p>
  </w:footnote>
  <w:footnote w:id="21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Для карт, эмитированных на территории Российской Федерации</w:t>
      </w:r>
    </w:p>
  </w:footnote>
  <w:footnote w:id="22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 для карт, эмитированных на территории Российской Федерации</w:t>
      </w:r>
    </w:p>
  </w:footnote>
  <w:footnote w:id="23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 технической возможности. для карт, эмитированных на территории Российской Федерации</w:t>
      </w:r>
    </w:p>
  </w:footnote>
  <w:footnote w:id="24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 тариф за проведение операции с использованием сервиса Покупки в кредит приравнивается к тарифу по Торговому эквайрингу.  </w:t>
      </w:r>
    </w:p>
  </w:footnote>
  <w:footnote w:id="25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26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27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28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Условия: </w:t>
      </w:r>
      <w:hyperlink r:id="rId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14"/>
            <w:szCs w:val="14"/>
            <w:u w:val="single"/>
            <w:shd w:fill="auto" w:val="clear"/>
            <w:vertAlign w:val="baseline"/>
            <w:rtl w:val="0"/>
          </w:rPr>
          <w:t xml:space="preserve">https://www.sberbank.com/ru/s_m_business/bankingservice/acquiring_total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3"/>
          <w:szCs w:val="13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Тарифы: https://www.sberbank.com/ru/s_m_business/bankingservice/acquiring_total?tab=tariffs</w:t>
        <w:br w:type="textWrapping"/>
        <w:t xml:space="preserve">Условия СБП и Тарифы СБП: </w:t>
      </w:r>
      <w:hyperlink r:id="rId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14"/>
            <w:szCs w:val="14"/>
            <w:u w:val="single"/>
            <w:shd w:fill="auto" w:val="clear"/>
            <w:vertAlign w:val="baseline"/>
            <w:rtl w:val="0"/>
          </w:rPr>
          <w:t xml:space="preserve">https://www.sberbank.com/ru/s_m_business/bankingservice/sbp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br w:type="textWrapping"/>
        <w:t xml:space="preserve">Условия взаимодействия сторон: </w:t>
      </w:r>
      <w:hyperlink r:id="rId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13"/>
            <w:szCs w:val="13"/>
            <w:u w:val="single"/>
            <w:shd w:fill="auto" w:val="clear"/>
            <w:vertAlign w:val="baseline"/>
            <w:rtl w:val="0"/>
          </w:rPr>
          <w:t xml:space="preserve">https://www.sberbank.ru/ru/s_m_business/bankingservice/posloans?utm_source=mmb&amp;utm_campaign=baner_new&amp;utm_content=pokupay_so_sberom</w:t>
        </w:r>
      </w:hyperlink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30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31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32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33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Информация о торгово-сервисной точке, необходимая для предоставления в Банк, размещена на официальном сайте Банка и может быть заполнена со слов руководителя/уполномоченного представителя Предприятия/доверенного лица Предприятия/физического лица, осуществляющего предпринимательскую деятельность/занимающегося частной практикой для формирования в электронном виде работником Банка и/или посредством системы ДБО (при наличии технической возможности). </w:t>
      </w:r>
    </w:p>
  </w:footnote>
  <w:footnote w:id="34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подключении Комплекса решений «Продавай со Сбером».</w:t>
      </w:r>
    </w:p>
  </w:footnote>
  <w:footnote w:id="35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В том числе при подключении сервиса Покупки в кредит в составе Комплекса решений «Продавай со Сбером».</w:t>
      </w:r>
    </w:p>
  </w:footnote>
  <w:footnote w:id="36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Предоставляется при условии подключения услуги «Торговый эквайринг»/ «Интернет эквайринг». В случае если предоставление услуги осуществляется уже по существующему Договору, подключение услуги производится после подписания корректирующего Заявления.</w:t>
      </w:r>
    </w:p>
  </w:footnote>
  <w:footnote w:id="37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Раздел «Малому бизнесу и ИП»-&gt; «Кредиты» -&gt; «Кредитование ваших покупателей» (</w:t>
      </w:r>
      <w:hyperlink r:id="rId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14"/>
            <w:szCs w:val="14"/>
            <w:u w:val="single"/>
            <w:shd w:fill="auto" w:val="clear"/>
            <w:vertAlign w:val="baseline"/>
            <w:rtl w:val="0"/>
          </w:rPr>
          <w:t xml:space="preserve">https://www.sberbank.ru/ru/s_m_business/bankingservice/posloans?utm_source=mmb&amp;utm_campaign=baner_new&amp;utm_content=pokupay_so_sberom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</w:p>
  </w:footnote>
  <w:footnote w:id="38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При наличии</w:t>
      </w:r>
    </w:p>
  </w:footnote>
  <w:footnote w:id="39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При наличии технической возможности получение документов возможно в электронном виде.</w:t>
      </w:r>
    </w:p>
  </w:footnote>
  <w:footnote w:id="40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Формируется работником ПАО Сбербанк на сайте ФНС РФ </w:t>
      </w:r>
      <w:hyperlink r:id="rId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https://service.nalog.ru/vyp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в форме электронного документа, подписанного усиленной квалифицированной электронной подписью ФНС. </w:t>
      </w:r>
    </w:p>
  </w:footnote>
  <w:footnote w:id="41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Для Предприятий, банковский счет которых открыт в другой кредитной организации. Форма размещена на сайте ПАО Сбербанк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http://www.sberbank.ru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и может быть заполнена в электронном виде работником ПАО Сбербанк со слов руководителя/уполномоченного представителя Предприятия/физического лица, осуществляющего предпринимательскую деятельность/занимающегося частной практикой.</w:t>
      </w:r>
    </w:p>
  </w:footnote>
  <w:footnote w:id="42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Для Предприятий, банковский счет которых открыт в другой кредитной. </w:t>
      </w:r>
    </w:p>
  </w:footnote>
  <w:footnote w:id="43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</w:t>
      </w:r>
    </w:p>
  </w:footnote>
  <w:footnote w:id="44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В случае, если подписантом является доверенное лицо, предоставляется копия документа, удостоверяющего личность и доверенность.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569710" cy="79502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69710" cy="7950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  <w:i w:val="0"/>
        <w:iCs w:val="0"/>
      </w:rPr>
    </w:lvl>
    <w:lvl w:ilvl="1">
      <w:start w:val="1"/>
      <w:numFmt w:val="decimal"/>
      <w:lvlText w:val="%1.%2."/>
      <w:lvlJc w:val="left"/>
      <w:pPr>
        <w:ind w:left="752" w:hanging="360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440" w:hanging="720"/>
      </w:pPr>
      <w:rPr/>
    </w:lvl>
    <w:lvl w:ilvl="4">
      <w:start w:val="1"/>
      <w:numFmt w:val="decimal"/>
      <w:lvlText w:val="%1.%2.%3.%4.%5."/>
      <w:lvlJc w:val="left"/>
      <w:pPr>
        <w:ind w:left="180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080"/>
      </w:pPr>
      <w:rPr/>
    </w:lvl>
    <w:lvl w:ilvl="7">
      <w:start w:val="1"/>
      <w:numFmt w:val="decimal"/>
      <w:lvlText w:val="%1.%2.%3.%4.%5.%6.%7.%8."/>
      <w:lvlJc w:val="left"/>
      <w:pPr>
        <w:ind w:left="216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44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>
        <w:sz w:val="16"/>
        <w:szCs w:val="16"/>
      </w:rPr>
    </w:lvl>
    <w:lvl w:ilvl="1">
      <w:start w:val="5"/>
      <w:numFmt w:val="decimal"/>
      <w:lvlText w:val="%1.%2"/>
      <w:lvlJc w:val="left"/>
      <w:pPr>
        <w:ind w:left="360" w:hanging="360"/>
      </w:pPr>
      <w:rPr>
        <w:sz w:val="16"/>
        <w:szCs w:val="1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sz w:val="16"/>
        <w:szCs w:val="1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sz w:val="16"/>
        <w:szCs w:val="1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16"/>
        <w:szCs w:val="1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sz w:val="16"/>
        <w:szCs w:val="1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sz w:val="16"/>
        <w:szCs w:val="1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sz w:val="16"/>
        <w:szCs w:val="1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sz w:val="16"/>
        <w:szCs w:val="16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Liberation Sans" w:cs="Liberation Sans" w:eastAsia="Liberation Sans" w:hAnsi="Liberation Sans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7">
    <w:name w:val="heading 7"/>
    <w:basedOn w:val="a"/>
    <w:next w:val="a"/>
    <w:link w:val="70"/>
    <w:uiPriority w:val="99"/>
    <w:qFormat w:val="1"/>
    <w:pPr>
      <w:keepNext w:val="1"/>
      <w:ind w:firstLine="1560"/>
      <w:outlineLvl w:val="6"/>
    </w:pPr>
    <w:rPr>
      <w:sz w:val="26"/>
      <w:szCs w:val="20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Liberation Sans" w:cs="Liberation Sans" w:eastAsia="Liberation Sans" w:hAnsi="Liberation Sans"/>
      <w:i w:val="1"/>
      <w:iCs w:val="1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Liberation Sans" w:cs="Liberation Sans" w:eastAsia="Liberation Sans" w:hAnsi="Liberation Sans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Pr>
      <w:rFonts w:ascii="Liberation Sans" w:cs="Liberation Sans" w:eastAsia="Liberation Sans" w:hAnsi="Liberation Sans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Liberation Sans" w:cs="Liberation Sans" w:eastAsia="Liberation Sans" w:hAnsi="Liberation Sans"/>
      <w:sz w:val="34"/>
    </w:rPr>
  </w:style>
  <w:style w:type="character" w:styleId="Heading3Char" w:customStyle="1">
    <w:name w:val="Heading 3 Char"/>
    <w:basedOn w:val="a0"/>
    <w:uiPriority w:val="9"/>
    <w:rPr>
      <w:rFonts w:ascii="Liberation Sans" w:cs="Liberation Sans" w:eastAsia="Liberation Sans" w:hAnsi="Liberation Sans"/>
      <w:sz w:val="30"/>
      <w:szCs w:val="30"/>
    </w:rPr>
  </w:style>
  <w:style w:type="character" w:styleId="Heading4Char" w:customStyle="1">
    <w:name w:val="Heading 4 Char"/>
    <w:basedOn w:val="a0"/>
    <w:uiPriority w:val="9"/>
    <w:rPr>
      <w:rFonts w:ascii="Liberation Sans" w:cs="Liberation Sans" w:eastAsia="Liberation Sans" w:hAnsi="Liberation Sans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Liberation Sans" w:cs="Liberation Sans" w:eastAsia="Liberation Sans" w:hAnsi="Liberation Sans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Liberation Sans" w:cs="Liberation Sans" w:eastAsia="Liberation Sans" w:hAnsi="Liberation Sans"/>
      <w:b w:val="1"/>
      <w:bCs w:val="1"/>
      <w:sz w:val="22"/>
      <w:szCs w:val="22"/>
    </w:rPr>
  </w:style>
  <w:style w:type="character" w:styleId="Heading7Char" w:customStyle="1">
    <w:name w:val="Heading 7 Char"/>
    <w:basedOn w:val="a0"/>
    <w:uiPriority w:val="9"/>
    <w:rPr>
      <w:rFonts w:ascii="Liberation Sans" w:cs="Liberation Sans" w:eastAsia="Liberation Sans" w:hAnsi="Liberation Sans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Liberation Sans" w:cs="Liberation Sans" w:eastAsia="Liberation Sans" w:hAnsi="Liberation Sans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Liberation Sans" w:cs="Liberation Sans" w:eastAsia="Liberation Sans" w:hAnsi="Liberation Sans"/>
      <w:i w:val="1"/>
      <w:iCs w:val="1"/>
      <w:sz w:val="21"/>
      <w:szCs w:val="21"/>
    </w:rPr>
  </w:style>
  <w:style w:type="paragraph" w:styleId="a3">
    <w:name w:val="No Spacing"/>
    <w:uiPriority w:val="1"/>
    <w:qFormat w:val="1"/>
  </w:style>
  <w:style w:type="character" w:styleId="a5" w:customStyle="1">
    <w:name w:val="Заголовок Знак"/>
    <w:basedOn w:val="a0"/>
    <w:link w:val="a4"/>
    <w:uiPriority w:val="10"/>
    <w:rPr>
      <w:sz w:val="48"/>
      <w:szCs w:val="48"/>
    </w:rPr>
  </w:style>
  <w:style w:type="character" w:styleId="a7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8">
    <w:name w:val="Intense Quote"/>
    <w:basedOn w:val="a"/>
    <w:next w:val="a"/>
    <w:link w:val="a9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9" w:customStyle="1">
    <w:name w:val="Выделенная цитата Знак"/>
    <w:link w:val="a8"/>
    <w:uiPriority w:val="30"/>
    <w:rPr>
      <w:i w:val="1"/>
    </w:rPr>
  </w:style>
  <w:style w:type="character" w:styleId="HeaderChar" w:customStyle="1">
    <w:name w:val="Header Char"/>
    <w:basedOn w:val="a0"/>
    <w:uiPriority w:val="99"/>
  </w:style>
  <w:style w:type="character" w:styleId="FooterChar" w:customStyle="1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ab" w:customStyle="1">
    <w:name w:val="Название объекта Знак"/>
    <w:basedOn w:val="a0"/>
    <w:link w:val="aa"/>
    <w:uiPriority w:val="35"/>
    <w:rPr>
      <w:b w:val="1"/>
      <w:bCs w:val="1"/>
      <w:color w:val="4f81bd" w:themeColor="accent1"/>
      <w:sz w:val="18"/>
      <w:szCs w:val="18"/>
    </w:rPr>
  </w:style>
  <w:style w:type="table" w:styleId="TableGridLight" w:customStyle="1">
    <w:name w:val="Table Grid Light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</w:tblStylePr>
    <w:tblStylePr w:type="lastRow">
      <w:rPr>
        <w:rFonts w:ascii="Liberation Sans" w:hAnsi="Liberation Sans"/>
        <w:b w:val="1"/>
        <w:color w:val="404040"/>
        <w:sz w:val="22"/>
      </w:r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Liberation Sans" w:hAnsi="Liberation Sans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Liberation Sans" w:hAnsi="Liberation Sans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Liberation Sans" w:hAnsi="Liberation Sans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Liberation Sans" w:hAnsi="Liberation Sans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Liberation Sans" w:hAnsi="Liberation Sans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StyleRowBandSize w:val="1"/>
      <w:tblStyleColBandSize w:val="1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Liberation Sans" w:hAnsi="Liberation Sans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Liberation Sans" w:hAnsi="Liberation Sans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Liberation Sans" w:hAnsi="Liberation Sans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StyleRowBandSize w:val="1"/>
      <w:tblStyleColBandSize w:val="1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Liberation Sans" w:hAnsi="Liberation Sans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Liberation Sans" w:hAnsi="Liberation Sans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Liberation Sans" w:hAnsi="Liberation Sans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Liberation Sans" w:hAnsi="Liberation Sans"/>
        <w:color w:val="266779" w:themeColor="accent5" w:themeShade="0000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Liberation Sans" w:hAnsi="Liberation Sans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Liberation Sans" w:hAnsi="Liberation Sans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StyleRowBandSize w:val="1"/>
      <w:tblStyleColBandSize w:val="1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rFonts w:ascii="Liberation Sans" w:hAnsi="Liberation Sans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Liberation Sans" w:hAnsi="Liberation Sans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Liberation Sans" w:hAnsi="Liberation Sans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StyleRowBandSize w:val="1"/>
      <w:tblStyleColBandSize w:val="1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rFonts w:ascii="Liberation Sans" w:hAnsi="Liberation Sans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Liberation Sans" w:hAnsi="Liberation Sans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StyleRowBandSize w:val="1"/>
      <w:tblStyleColBandSize w:val="1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rFonts w:ascii="Liberation Sans" w:hAnsi="Liberation Sans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Liberation Sans" w:hAnsi="Liberation Sans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StyleRowBandSize w:val="1"/>
      <w:tblStyleColBandSize w:val="1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rFonts w:ascii="Liberation Sans" w:hAnsi="Liberation Sans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Liberation Sans" w:hAnsi="Liberation Sans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StyleRowBandSize w:val="1"/>
      <w:tblStyleColBandSize w:val="1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Liberation Sans" w:hAnsi="Liberation Sans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Liberation Sans" w:hAnsi="Liberation Sans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StyleRowBandSize w:val="1"/>
      <w:tblStyleColBandSize w:val="1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Liberation Sans" w:hAnsi="Liberation Sans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Liberation Sans" w:hAnsi="Liberation Sans"/>
        <w:color w:val="b15407" w:themeColor="accent6" w:themeShade="0000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tblPr>
      <w:tblStyleRowBandSize w:val="1"/>
      <w:tblStyleColBandSize w:val="1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tblPr>
      <w:tblStyleRowBandSize w:val="1"/>
      <w:tblStyleColBandSize w:val="1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tblPr>
      <w:tblStyleRowBandSize w:val="1"/>
      <w:tblStyleColBandSize w:val="1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tblPr>
      <w:tblStyleRowBandSize w:val="1"/>
      <w:tblStyleColBandSize w:val="1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tblPr>
      <w:tblStyleRowBandSize w:val="1"/>
      <w:tblStyleColBandSize w:val="1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tblPr>
      <w:tblStyleRowBandSize w:val="1"/>
      <w:tblStyleColBandSize w:val="1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Liberation Sans" w:hAnsi="Liberation Sans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Liberation Sans" w:hAnsi="Liberation Sans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Liberation Sans" w:hAnsi="Liberation Sans"/>
        <w:b w:val="1"/>
        <w:color w:val="404040"/>
        <w:sz w:val="22"/>
      </w:rPr>
    </w:tblStylePr>
    <w:tblStylePr w:type="lastCol">
      <w:rPr>
        <w:rFonts w:ascii="Liberation Sans" w:hAnsi="Liberation Sans"/>
        <w:b w:val="1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StyleRowBandSize w:val="1"/>
      <w:tblStyleColBandSize w:val="1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StyleRowBandSize w:val="1"/>
      <w:tblStyleColBandSize w:val="1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StyleRowBandSize w:val="1"/>
      <w:tblStyleColBandSize w:val="1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Liberation Sans" w:hAnsi="Liberation Sans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tblPr>
      <w:tblStyleRowBandSize w:val="1"/>
      <w:tblStyleColBandSize w:val="1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tblPr>
      <w:tblStyleRowBandSize w:val="1"/>
      <w:tblStyleColBandSize w:val="1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tblPr>
      <w:tblStyleRowBandSize w:val="1"/>
      <w:tblStyleColBandSize w:val="1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tblPr>
      <w:tblStyleRowBandSize w:val="1"/>
      <w:tblStyleColBandSize w:val="1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tblPr>
      <w:tblStyleRowBandSize w:val="1"/>
      <w:tblStyleColBandSize w:val="1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tblPr>
      <w:tblStyleRowBandSize w:val="1"/>
      <w:tblStyleColBandSize w:val="1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</w:tblPr>
    <w:tblStylePr w:type="firstRow">
      <w:rPr>
        <w:rFonts w:ascii="Liberation Sans" w:hAnsi="Liberation Sans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Liberation Sans" w:hAnsi="Liberation Sans"/>
        <w:b w:val="1"/>
        <w:color w:val="ffffff" w:themeColor="light1"/>
        <w:sz w:val="22"/>
      </w:rPr>
    </w:tblStylePr>
    <w:tblStylePr w:type="firstCol">
      <w:rPr>
        <w:rFonts w:ascii="Liberation Sans" w:hAnsi="Liberation Sans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Liberation Sans" w:hAnsi="Liberation Sans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Liberation Sans" w:hAnsi="Liberation Sans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StyleRowBandSize w:val="1"/>
      <w:tblStyleColBandSize w:val="1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Liberation Sans" w:hAnsi="Liberation Sans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Liberation Sans" w:hAnsi="Liberation Sans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StyleRowBandSize w:val="1"/>
      <w:tblStyleColBandSize w:val="1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Liberation Sans" w:hAnsi="Liberation Sans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Liberation Sans" w:hAnsi="Liberation Sans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StyleRowBandSize w:val="1"/>
      <w:tblStyleColBandSize w:val="1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Liberation Sans" w:hAnsi="Liberation Sans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Liberation Sans" w:hAnsi="Liberation Sans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StyleRowBandSize w:val="1"/>
      <w:tblStyleColBandSize w:val="1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Liberation Sans" w:hAnsi="Liberation Sans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Liberation Sans" w:hAnsi="Liberation Sans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StyleRowBandSize w:val="1"/>
      <w:tblStyleColBandSize w:val="1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Liberation Sans" w:hAnsi="Liberation Sans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Liberation Sans" w:hAnsi="Liberation Sans"/>
        <w:color w:val="fac090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Liberation Sans" w:hAnsi="Liberation Sans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Liberation Sans" w:hAnsi="Liberation Sans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StyleRowBandSize w:val="1"/>
      <w:tblStyleColBandSize w:val="1"/>
      <w:tblBorders>
        <w:right w:color="4f81bd" w:space="0" w:sz="4" w:themeColor="accent1" w:val="single"/>
      </w:tblBorders>
    </w:tblPr>
    <w:tblStylePr w:type="firstRow">
      <w:rPr>
        <w:rFonts w:ascii="Liberation Sans" w:hAnsi="Liberation Sans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Liberation Sans" w:hAnsi="Liberation Sans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Liberation Sans" w:hAnsi="Liberation Sans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StyleRowBandSize w:val="1"/>
      <w:tblStyleColBandSize w:val="1"/>
      <w:tblBorders>
        <w:right w:color="d99695" w:space="0" w:sz="4" w:themeColor="accent2" w:themeTint="000097" w:val="single"/>
      </w:tblBorders>
    </w:tblPr>
    <w:tblStylePr w:type="firstRow"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Liberation Sans" w:hAnsi="Liberation Sans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Liberation Sans" w:hAnsi="Liberation Sans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StyleRowBandSize w:val="1"/>
      <w:tblStyleColBandSize w:val="1"/>
      <w:tblBorders>
        <w:right w:color="c3d69b" w:space="0" w:sz="4" w:themeColor="accent3" w:themeTint="000098" w:val="single"/>
      </w:tblBorders>
    </w:tblPr>
    <w:tblStylePr w:type="firstRow">
      <w:rPr>
        <w:rFonts w:ascii="Liberation Sans" w:hAnsi="Liberation Sans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Liberation Sans" w:hAnsi="Liberation Sans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Liberation Sans" w:hAnsi="Liberation Sans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StyleRowBandSize w:val="1"/>
      <w:tblStyleColBandSize w:val="1"/>
      <w:tblBorders>
        <w:right w:color="b2a1c6" w:space="0" w:sz="4" w:themeColor="accent4" w:themeTint="00009A" w:val="single"/>
      </w:tblBorders>
    </w:tblPr>
    <w:tblStylePr w:type="firstRow"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Liberation Sans" w:hAnsi="Liberation Sans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Liberation Sans" w:hAnsi="Liberation Sans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StyleRowBandSize w:val="1"/>
      <w:tblStyleColBandSize w:val="1"/>
      <w:tblBorders>
        <w:right w:color="92ccdc" w:space="0" w:sz="4" w:themeColor="accent5" w:themeTint="00009A" w:val="single"/>
      </w:tblBorders>
    </w:tblPr>
    <w:tblStylePr w:type="firstRow">
      <w:rPr>
        <w:rFonts w:ascii="Liberation Sans" w:hAnsi="Liberation Sans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Liberation Sans" w:hAnsi="Liberation Sans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Liberation Sans" w:hAnsi="Liberation Sans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StyleRowBandSize w:val="1"/>
      <w:tblStyleColBandSize w:val="1"/>
      <w:tblBorders>
        <w:right w:color="fac090" w:space="0" w:sz="4" w:themeColor="accent6" w:themeTint="000098" w:val="single"/>
      </w:tblBorders>
    </w:tblPr>
    <w:tblStylePr w:type="firstRow">
      <w:rPr>
        <w:rFonts w:ascii="Liberation Sans" w:hAnsi="Liberation Sans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Liberation Sans" w:hAnsi="Liberation Sans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Liberation Sans" w:hAnsi="Liberation Sans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Liberation Sans" w:hAnsi="Liberation Sans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Liberation Sans" w:hAnsi="Liberation Sans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Liberation Sans" w:hAnsi="Liberation Sans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FootnoteTextChar" w:customStyle="1">
    <w:name w:val="Footnote Text Char"/>
    <w:uiPriority w:val="99"/>
    <w:rPr>
      <w:sz w:val="18"/>
    </w:rPr>
  </w:style>
  <w:style w:type="paragraph" w:styleId="ac">
    <w:name w:val="endnote text"/>
    <w:basedOn w:val="a"/>
    <w:link w:val="ad"/>
    <w:uiPriority w:val="99"/>
    <w:semiHidden w:val="1"/>
    <w:unhideWhenUsed w:val="1"/>
    <w:rPr>
      <w:sz w:val="20"/>
    </w:rPr>
  </w:style>
  <w:style w:type="character" w:styleId="ad" w:customStyle="1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4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32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af">
    <w:name w:val="TOC Heading"/>
    <w:uiPriority w:val="39"/>
    <w:unhideWhenUsed w:val="1"/>
  </w:style>
  <w:style w:type="paragraph" w:styleId="af0">
    <w:name w:val="table of figures"/>
    <w:basedOn w:val="a"/>
    <w:next w:val="a"/>
    <w:uiPriority w:val="99"/>
    <w:unhideWhenUsed w:val="1"/>
  </w:style>
  <w:style w:type="character" w:styleId="20" w:customStyle="1">
    <w:name w:val="Заголовок 2 Знак"/>
    <w:link w:val="2"/>
    <w:uiPriority w:val="9"/>
    <w:semiHidden w:val="1"/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character" w:styleId="30" w:customStyle="1">
    <w:name w:val="Заголовок 3 Знак"/>
    <w:link w:val="3"/>
    <w:uiPriority w:val="9"/>
    <w:semiHidden w:val="1"/>
    <w:rPr>
      <w:rFonts w:ascii="Cambria" w:cs="Times New Roman" w:eastAsia="Times New Roman" w:hAnsi="Cambria"/>
      <w:b w:val="1"/>
      <w:bCs w:val="1"/>
      <w:color w:val="4f81bd"/>
      <w:sz w:val="24"/>
      <w:szCs w:val="24"/>
    </w:rPr>
  </w:style>
  <w:style w:type="character" w:styleId="70" w:customStyle="1">
    <w:name w:val="Заголовок 7 Знак"/>
    <w:link w:val="7"/>
    <w:uiPriority w:val="99"/>
    <w:semiHidden w:val="1"/>
    <w:rPr>
      <w:rFonts w:cs="Times New Roman"/>
      <w:sz w:val="26"/>
      <w:lang w:bidi="ar-SA" w:eastAsia="ru-RU" w:val="ru-RU"/>
    </w:rPr>
  </w:style>
  <w:style w:type="paragraph" w:styleId="Normal1" w:customStyle="1">
    <w:name w:val="Normal1"/>
    <w:uiPriority w:val="99"/>
  </w:style>
  <w:style w:type="paragraph" w:styleId="BodyText1" w:customStyle="1">
    <w:name w:val="Body Text1"/>
    <w:basedOn w:val="Normal1"/>
    <w:uiPriority w:val="99"/>
    <w:rPr>
      <w:b w:val="1"/>
      <w:bCs w:val="1"/>
      <w:sz w:val="28"/>
      <w:szCs w:val="28"/>
    </w:rPr>
  </w:style>
  <w:style w:type="paragraph" w:styleId="af1">
    <w:name w:val="footnote text"/>
    <w:basedOn w:val="a"/>
    <w:link w:val="af2"/>
    <w:uiPriority w:val="99"/>
    <w:qFormat w:val="1"/>
    <w:rPr>
      <w:rFonts w:ascii="Arial" w:hAnsi="Arial"/>
      <w:sz w:val="20"/>
      <w:szCs w:val="20"/>
    </w:rPr>
  </w:style>
  <w:style w:type="character" w:styleId="af2" w:customStyle="1">
    <w:name w:val="Текст сноски Знак"/>
    <w:link w:val="af1"/>
    <w:uiPriority w:val="99"/>
    <w:rPr>
      <w:rFonts w:ascii="Arial" w:cs="Times New Roman" w:hAnsi="Arial"/>
    </w:rPr>
  </w:style>
  <w:style w:type="character" w:styleId="af3">
    <w:name w:val="footnote reference"/>
    <w:uiPriority w:val="99"/>
    <w:qFormat w:val="1"/>
    <w:rPr>
      <w:rFonts w:ascii="Times New Roman" w:cs="Times New Roman" w:hAnsi="Times New Roman"/>
      <w:vertAlign w:val="superscript"/>
    </w:rPr>
  </w:style>
  <w:style w:type="paragraph" w:styleId="af4">
    <w:name w:val="header"/>
    <w:basedOn w:val="a"/>
    <w:link w:val="af5"/>
    <w:uiPriority w:val="99"/>
    <w:pPr>
      <w:tabs>
        <w:tab w:val="center" w:pos="4536"/>
        <w:tab w:val="right" w:pos="9072"/>
      </w:tabs>
    </w:pPr>
  </w:style>
  <w:style w:type="character" w:styleId="af5" w:customStyle="1">
    <w:name w:val="Верхний колонтитул Знак"/>
    <w:link w:val="af4"/>
    <w:uiPriority w:val="99"/>
    <w:rPr>
      <w:rFonts w:cs="Times New Roman"/>
      <w:sz w:val="24"/>
      <w:szCs w:val="24"/>
    </w:rPr>
  </w:style>
  <w:style w:type="character" w:styleId="af6">
    <w:name w:val="Hyperlink"/>
    <w:uiPriority w:val="99"/>
    <w:rPr>
      <w:rFonts w:cs="Times New Roman"/>
      <w:color w:val="0000ff"/>
      <w:u w:val="single"/>
    </w:rPr>
  </w:style>
  <w:style w:type="table" w:styleId="af7">
    <w:name w:val="Table Grid"/>
    <w:basedOn w:val="a1"/>
    <w:uiPriority w:val="59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nsPlusNormal" w:customStyle="1">
    <w:name w:val="ConsPlusNormal"/>
    <w:uiPriority w:val="99"/>
    <w:rPr>
      <w:rFonts w:ascii="Arial" w:cs="Arial" w:hAnsi="Arial"/>
    </w:rPr>
  </w:style>
  <w:style w:type="paragraph" w:styleId="af8">
    <w:name w:val="Balloon Text"/>
    <w:basedOn w:val="a"/>
    <w:link w:val="af9"/>
    <w:uiPriority w:val="99"/>
    <w:semiHidden w:val="1"/>
    <w:unhideWhenUsed w:val="1"/>
    <w:rPr>
      <w:rFonts w:ascii="Tahoma" w:hAnsi="Tahoma"/>
      <w:sz w:val="16"/>
      <w:szCs w:val="16"/>
    </w:rPr>
  </w:style>
  <w:style w:type="character" w:styleId="af9" w:customStyle="1">
    <w:name w:val="Текст выноски Знак"/>
    <w:link w:val="af8"/>
    <w:uiPriority w:val="99"/>
    <w:semiHidden w:val="1"/>
    <w:rPr>
      <w:rFonts w:ascii="Tahoma" w:cs="Tahoma" w:hAnsi="Tahoma"/>
      <w:sz w:val="16"/>
      <w:szCs w:val="16"/>
    </w:rPr>
  </w:style>
  <w:style w:type="paragraph" w:styleId="afa">
    <w:name w:val="Revision"/>
    <w:hidden w:val="1"/>
    <w:uiPriority w:val="99"/>
    <w:semiHidden w:val="1"/>
    <w:rPr>
      <w:sz w:val="24"/>
      <w:szCs w:val="24"/>
    </w:rPr>
  </w:style>
  <w:style w:type="paragraph" w:styleId="afb">
    <w:name w:val="List Paragraph"/>
    <w:basedOn w:val="a"/>
    <w:uiPriority w:val="34"/>
    <w:qFormat w:val="1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character" w:styleId="afc">
    <w:name w:val="annotation reference"/>
    <w:uiPriority w:val="99"/>
    <w:unhideWhenUsed w:val="1"/>
    <w:rPr>
      <w:rFonts w:cs="Times New Roman"/>
      <w:sz w:val="16"/>
      <w:szCs w:val="16"/>
    </w:rPr>
  </w:style>
  <w:style w:type="paragraph" w:styleId="afd">
    <w:name w:val="annotation text"/>
    <w:basedOn w:val="a"/>
    <w:link w:val="afe"/>
    <w:uiPriority w:val="99"/>
    <w:unhideWhenUsed w:val="1"/>
    <w:rPr>
      <w:sz w:val="20"/>
      <w:szCs w:val="20"/>
    </w:rPr>
  </w:style>
  <w:style w:type="character" w:styleId="afe" w:customStyle="1">
    <w:name w:val="Текст примечания Знак"/>
    <w:link w:val="afd"/>
    <w:uiPriority w:val="99"/>
    <w:rPr>
      <w:rFonts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 w:val="1"/>
    <w:unhideWhenUsed w:val="1"/>
    <w:rPr>
      <w:b w:val="1"/>
      <w:bCs w:val="1"/>
    </w:rPr>
  </w:style>
  <w:style w:type="character" w:styleId="aff0" w:customStyle="1">
    <w:name w:val="Тема примечания Знак"/>
    <w:link w:val="aff"/>
    <w:uiPriority w:val="99"/>
    <w:semiHidden w:val="1"/>
    <w:rPr>
      <w:rFonts w:cs="Times New Roman"/>
      <w:b w:val="1"/>
      <w:bCs w:val="1"/>
      <w:sz w:val="20"/>
      <w:szCs w:val="20"/>
    </w:rPr>
  </w:style>
  <w:style w:type="paragraph" w:styleId="25" w:customStyle="1">
    <w:name w:val="Обычный2"/>
    <w:pPr>
      <w:widowControl w:val="0"/>
    </w:pPr>
  </w:style>
  <w:style w:type="paragraph" w:styleId="33">
    <w:name w:val="Body Text Indent 3"/>
    <w:basedOn w:val="a"/>
    <w:link w:val="34"/>
    <w:uiPriority w:val="99"/>
    <w:pPr>
      <w:ind w:firstLine="709"/>
      <w:jc w:val="both"/>
    </w:pPr>
  </w:style>
  <w:style w:type="character" w:styleId="34" w:customStyle="1">
    <w:name w:val="Основной текст с отступом 3 Знак"/>
    <w:link w:val="33"/>
    <w:uiPriority w:val="99"/>
    <w:rPr>
      <w:rFonts w:cs="Times New Roman"/>
      <w:sz w:val="24"/>
      <w:szCs w:val="24"/>
    </w:rPr>
  </w:style>
  <w:style w:type="paragraph" w:styleId="aff1" w:customStyle="1">
    <w:name w:val="над таблицей"/>
    <w:basedOn w:val="a"/>
    <w:link w:val="aff2"/>
    <w:uiPriority w:val="99"/>
    <w:pPr>
      <w:widowControl w:val="0"/>
      <w:spacing w:after="20"/>
    </w:pPr>
    <w:rPr>
      <w:rFonts w:ascii="Arial" w:cs="Arial" w:hAnsi="Arial"/>
      <w:b w:val="1"/>
      <w:bCs w:val="1"/>
      <w:caps w:val="1"/>
      <w:sz w:val="12"/>
      <w:szCs w:val="12"/>
    </w:rPr>
  </w:style>
  <w:style w:type="character" w:styleId="aff2" w:customStyle="1">
    <w:name w:val="над таблицей Знак"/>
    <w:link w:val="aff1"/>
    <w:uiPriority w:val="99"/>
    <w:rPr>
      <w:rFonts w:ascii="Arial" w:cs="Arial" w:hAnsi="Arial"/>
      <w:b w:val="1"/>
      <w:bCs w:val="1"/>
      <w:caps w:val="1"/>
      <w:sz w:val="12"/>
      <w:szCs w:val="12"/>
    </w:rPr>
  </w:style>
  <w:style w:type="table" w:styleId="13" w:customStyle="1">
    <w:name w:val="Сетка таблицы1"/>
    <w:basedOn w:val="a1"/>
    <w:next w:val="af7"/>
    <w:uiPriority w:val="59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26">
    <w:name w:val="Body Text 2"/>
    <w:basedOn w:val="a"/>
    <w:link w:val="27"/>
    <w:uiPriority w:val="99"/>
    <w:semiHidden w:val="1"/>
    <w:unhideWhenUsed w:val="1"/>
    <w:pPr>
      <w:spacing w:after="120" w:line="480" w:lineRule="auto"/>
    </w:pPr>
  </w:style>
  <w:style w:type="character" w:styleId="27" w:customStyle="1">
    <w:name w:val="Основной текст 2 Знак"/>
    <w:basedOn w:val="a0"/>
    <w:link w:val="26"/>
    <w:uiPriority w:val="99"/>
    <w:rPr>
      <w:sz w:val="24"/>
      <w:szCs w:val="24"/>
    </w:rPr>
  </w:style>
  <w:style w:type="paragraph" w:styleId="aff3">
    <w:name w:val="footer"/>
    <w:basedOn w:val="a"/>
    <w:link w:val="aff4"/>
    <w:uiPriority w:val="99"/>
    <w:unhideWhenUsed w:val="1"/>
    <w:pPr>
      <w:tabs>
        <w:tab w:val="center" w:pos="4677"/>
        <w:tab w:val="right" w:pos="9355"/>
      </w:tabs>
    </w:pPr>
  </w:style>
  <w:style w:type="character" w:styleId="aff4" w:customStyle="1">
    <w:name w:val="Нижний колонтитул Знак"/>
    <w:basedOn w:val="a0"/>
    <w:link w:val="aff3"/>
    <w:uiPriority w:val="99"/>
    <w:rPr>
      <w:sz w:val="24"/>
      <w:szCs w:val="24"/>
    </w:rPr>
  </w:style>
  <w:style w:type="character" w:styleId="40" w:customStyle="1">
    <w:name w:val="Заголовок 4 Знак"/>
    <w:basedOn w:val="a0"/>
    <w:link w:val="4"/>
    <w:semiHidden w:val="1"/>
    <w:rPr>
      <w:rFonts w:asciiTheme="majorHAnsi" w:cstheme="majorBidi" w:eastAsiaTheme="majorEastAsia" w:hAnsiTheme="majorHAnsi"/>
      <w:i w:val="1"/>
      <w:iCs w:val="1"/>
      <w:color w:val="365f91" w:themeColor="accent1" w:themeShade="0000BF"/>
      <w:sz w:val="24"/>
      <w:szCs w:val="24"/>
    </w:rPr>
  </w:style>
  <w:style w:type="paragraph" w:styleId="Default" w:customStyle="1">
    <w:name w:val="Default"/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://www.sberbank.ru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berbank.com/ru/s_m_business/bankingservice/acquiring_total" TargetMode="External"/><Relationship Id="rId2" Type="http://schemas.openxmlformats.org/officeDocument/2006/relationships/hyperlink" Target="https://www.sberbank.com/ru/s_m_business/bankingservice/sbp" TargetMode="External"/><Relationship Id="rId3" Type="http://schemas.openxmlformats.org/officeDocument/2006/relationships/hyperlink" Target="https://www.sberbank.ru/ru/s_m_business/bankingservice/posloans?utm_source=mmb&amp;utm_campaign=baner_new&amp;utm_content=pokupay_so_sberom" TargetMode="External"/><Relationship Id="rId4" Type="http://schemas.openxmlformats.org/officeDocument/2006/relationships/hyperlink" Target="https://www.sberbank.ru/ru/s_m_business/bankingservice/posloans?utm_source=mmb&amp;utm_campaign=baner_new&amp;utm_content=pokupay_so_sberom" TargetMode="External"/><Relationship Id="rId5" Type="http://schemas.openxmlformats.org/officeDocument/2006/relationships/hyperlink" Target="https://service.nalog.ru/vyp" TargetMode="External"/><Relationship Id="rId6" Type="http://schemas.openxmlformats.org/officeDocument/2006/relationships/hyperlink" Target="http://www.sberbank.r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hp2ApBmd3Ns7FvhlvIev4jX9eQ==">CgMxLjA4AHIhMWxBQWhxLUZIQXZQZFZteWNON3E5OFVOMHRoNzVTdGJ1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2025-08-07T12:00:00Z</dcterms:created>
  <dc:creator>Саяхова Луиза Василевна</dc:creator>
</cp:coreProperties>
</file>