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Лабораторная работа №2</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РД ФСТЭК</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Задачи: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Ознакомиться с руководящими документами:</w:t>
      </w:r>
      <w:r w:rsidDel="00000000" w:rsidR="00000000" w:rsidRPr="00000000">
        <w:rPr>
          <w:rtl w:val="0"/>
        </w:rPr>
      </w:r>
    </w:p>
    <w:p w:rsidR="00000000" w:rsidDel="00000000" w:rsidP="00000000" w:rsidRDefault="00000000" w:rsidRPr="00000000" w14:paraId="00000009">
      <w:pPr>
        <w:ind w:left="1080" w:hanging="360"/>
        <w:rPr>
          <w:rFonts w:ascii="Times New Roman" w:cs="Times New Roman" w:eastAsia="Times New Roman" w:hAnsi="Times New Roman"/>
          <w:color w:val="1155cc"/>
          <w:sz w:val="24"/>
          <w:szCs w:val="24"/>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https://fstec.ru/tekhnicheskaya-zashchita-informatsii/dokumenty/114-spetsialnye-normativnye-dokumenty/382-rukovodyashchij-dokument-prikaz-predsedatelya-gostekhkomissii-rossii-ot-4-iyunya-1999-g-n-114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Защита от НСД термины (</w:t>
      </w:r>
      <w:hyperlink r:id="rId8">
        <w:r w:rsidDel="00000000" w:rsidR="00000000" w:rsidRPr="00000000">
          <w:rPr>
            <w:rFonts w:ascii="Times New Roman" w:cs="Times New Roman" w:eastAsia="Times New Roman" w:hAnsi="Times New Roman"/>
            <w:color w:val="1155cc"/>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rFonts w:ascii="Times New Roman" w:cs="Times New Roman" w:eastAsia="Times New Roman" w:hAnsi="Times New Roman"/>
          <w:rtl w:val="0"/>
        </w:rPr>
        <w:t xml:space="preserve"> ) + Концепция защиты от НСД</w:t>
      </w:r>
    </w:p>
    <w:p w:rsidR="00000000" w:rsidDel="00000000" w:rsidP="00000000" w:rsidRDefault="00000000" w:rsidRPr="00000000" w14:paraId="0000000B">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Автоматизированные системы. Защита от НСД </w:t>
      </w:r>
      <w:hyperlink r:id="rId9">
        <w:r w:rsidDel="00000000" w:rsidR="00000000" w:rsidRPr="00000000">
          <w:rPr>
            <w:rFonts w:ascii="Times New Roman" w:cs="Times New Roman" w:eastAsia="Times New Roman" w:hAnsi="Times New Roman"/>
            <w:color w:val="1155cc"/>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№187з</w:t>
      </w:r>
    </w:p>
    <w:p w:rsidR="00000000" w:rsidDel="00000000" w:rsidP="00000000" w:rsidRDefault="00000000" w:rsidRPr="00000000" w14:paraId="0000000D">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Средства вычислительной техники. Защита от НСД (</w:t>
      </w:r>
      <w:hyperlink r:id="rId10">
        <w:r w:rsidDel="00000000" w:rsidR="00000000" w:rsidRPr="00000000">
          <w:rPr>
            <w:rFonts w:ascii="Times New Roman" w:cs="Times New Roman" w:eastAsia="Times New Roman" w:hAnsi="Times New Roman"/>
            <w:color w:val="1155cc"/>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СВТ. Межсетевые экраны. Защита от НСД ( </w:t>
      </w:r>
      <w:hyperlink r:id="rId11">
        <w:r w:rsidDel="00000000" w:rsidR="00000000" w:rsidRPr="00000000">
          <w:rPr>
            <w:rFonts w:ascii="Times New Roman" w:cs="Times New Roman" w:eastAsia="Times New Roman" w:hAnsi="Times New Roman"/>
            <w:color w:val="1155cc"/>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ind w:left="108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080" w:hanging="360"/>
        <w:rPr>
          <w:rFonts w:ascii="Times New Roman" w:cs="Times New Roman" w:eastAsia="Times New Roman" w:hAnsi="Times New Roman"/>
          <w:color w:val="1155cc"/>
          <w:sz w:val="24"/>
          <w:szCs w:val="24"/>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https://habr.com/post/311978/</w:t>
        </w:r>
      </w:hyperlink>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Решить представленные кейсы;</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Сделать вывод о том, в каком порядке необходимо начинать решение различных задач.</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Ход работы:</w:t>
      </w:r>
    </w:p>
    <w:p w:rsidR="00000000" w:rsidDel="00000000" w:rsidP="00000000" w:rsidRDefault="00000000" w:rsidRPr="00000000" w14:paraId="00000016">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rsidR="00000000" w:rsidDel="00000000" w:rsidP="00000000" w:rsidRDefault="00000000" w:rsidRPr="00000000" w14:paraId="00000017">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Кейсы:</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p>
    <w:p w:rsidR="00000000" w:rsidDel="00000000" w:rsidP="00000000" w:rsidRDefault="00000000" w:rsidRPr="00000000" w14:paraId="0000002E">
      <w:pPr>
        <w:spacing w:after="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требования РД ФСТЭК не соблюдал сотрудник?</w:t>
      </w:r>
    </w:p>
    <w:p w:rsidR="00000000" w:rsidDel="00000000" w:rsidP="00000000" w:rsidRDefault="00000000" w:rsidRPr="00000000" w14:paraId="0000002F">
      <w:pPr>
        <w:spacing w:after="240" w:before="240" w:lineRule="auto"/>
        <w:ind w:left="1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10"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12" Type="http://schemas.openxmlformats.org/officeDocument/2006/relationships/hyperlink" Target="https://habr.com/post/311978/" TargetMode="External"/><Relationship Id="rId9"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stec.ru/tekhnicheskaya-zashchita-informatsii/dokumenty/114-spetsialnye-normativnye-dokumenty/382-rukovodyashchij-dokument-prikaz-predsedatelya-gostekhkomissii-rossii-ot-4-iyunya-1999-g-n-114" TargetMode="External"/><Relationship Id="rId8"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Xv7lCVsq8Aqcj0rYEEyvU/i8Q==">AMUW2mX5gg4WFyfuU5mw/NoUKqeyowN0YftPd9ntMjsTk9GmlFibfdwkRZzVAZiB1yquUlOg33mqP762V6u6n2S83ZoTGtXzbozncDXJt0wL6UwC0s69V8o=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