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color w:val="113366"/>
          <w:sz w:val="25"/>
        </w:rPr>
        <w:t>1. Introducción.</w:t>
      </w:r>
    </w:p>
    <w:p>
      <w:pPr>
        <w:spacing w:after="80" w:line="276" w:lineRule="auto"/>
      </w:pPr>
      <w:r>
        <w:rPr>
          <w:rFonts w:ascii="Arial" w:hAnsi="Arial"/>
          <w:sz w:val="22"/>
        </w:rPr>
        <w:t>El presente caso de uso describe los pasos requeridos para que un Funcionario Municipal revise el expediente integral de una queja que ha completado su ciclo operativo (con informe técnico de la cuadrilla y dictamen de visto bueno del inspector), valide el cumplimiento de las normativas y formalice el cierre administrativo notificando al ciudadano.</w:t>
      </w:r>
    </w:p>
    <w:p>
      <w:pPr>
        <w:spacing w:before="120" w:after="60"/>
      </w:pPr>
      <w:r>
        <w:rPr>
          <w:rFonts w:ascii="Arial" w:hAnsi="Arial"/>
          <w:b/>
          <w:color w:val="113366"/>
          <w:sz w:val="25"/>
        </w:rPr>
        <w:t>Objetivo.</w:t>
      </w:r>
    </w:p>
    <w:p>
      <w:pPr>
        <w:spacing w:after="80" w:line="276" w:lineRule="auto"/>
      </w:pPr>
      <w:r>
        <w:rPr>
          <w:rFonts w:ascii="Arial" w:hAnsi="Arial"/>
          <w:sz w:val="22"/>
        </w:rPr>
        <w:t>Aprobar formalmente la resolución del expediente de queja y formalizar su cierre administrativo.</w:t>
      </w:r>
    </w:p>
    <w:p>
      <w:pPr>
        <w:spacing w:before="160" w:after="80"/>
      </w:pPr>
      <w:r>
        <w:rPr>
          <w:rFonts w:ascii="Arial" w:hAnsi="Arial"/>
          <w:b/>
          <w:color w:val="113366"/>
          <w:sz w:val="25"/>
        </w:rPr>
        <w:t>2. Definición Caso de Uso</w:t>
      </w:r>
    </w:p>
    <w:p>
      <w:pPr>
        <w:spacing w:before="80" w:after="60"/>
      </w:pPr>
      <w:r>
        <w:rPr>
          <w:rFonts w:ascii="Arial" w:hAnsi="Arial"/>
          <w:b/>
          <w:color w:val="224477"/>
          <w:sz w:val="23"/>
        </w:rPr>
        <w:t>2.1 Actores.</w:t>
      </w:r>
    </w:p>
    <w:p>
      <w:pPr>
        <w:spacing w:after="40" w:line="276" w:lineRule="auto"/>
      </w:pPr>
      <w:r>
        <w:rPr>
          <w:rFonts w:ascii="Arial" w:hAnsi="Arial"/>
          <w:sz w:val="22"/>
        </w:rPr>
        <w:t>Funcionario Municipal llamaremos Usuario.</w:t>
      </w:r>
    </w:p>
    <w:p>
      <w:pPr>
        <w:spacing w:after="80" w:line="276" w:lineRule="auto"/>
      </w:pPr>
      <w:r>
        <w:rPr>
          <w:rFonts w:ascii="Arial" w:hAnsi="Arial"/>
          <w:sz w:val="22"/>
        </w:rPr>
        <w:t>Portal del Sistema de Gestión de Quejas de la Municipalidad llamaremos Sistema</w:t>
      </w:r>
    </w:p>
    <w:p>
      <w:pPr>
        <w:spacing w:before="120" w:after="60"/>
      </w:pPr>
      <w:r>
        <w:rPr>
          <w:rFonts w:ascii="Arial" w:hAnsi="Arial"/>
          <w:b/>
          <w:color w:val="224477"/>
          <w:sz w:val="23"/>
        </w:rPr>
        <w:t>2.2 Precondiciones.</w:t>
      </w:r>
    </w:p>
    <w:p>
      <w:pPr>
        <w:spacing w:after="40" w:line="276" w:lineRule="auto"/>
        <w:ind w:left="288"/>
      </w:pPr>
      <w:r>
        <w:rPr>
          <w:rFonts w:ascii="Arial" w:hAnsi="Arial"/>
          <w:sz w:val="22"/>
        </w:rPr>
        <w:t>• El usuario se encuentra autenticado con rol de Funcionario Municipal. (RN13)</w:t>
      </w:r>
    </w:p>
    <w:p>
      <w:pPr>
        <w:spacing w:after="40" w:line="276" w:lineRule="auto"/>
        <w:ind w:left="288"/>
      </w:pPr>
      <w:r>
        <w:rPr>
          <w:rFonts w:ascii="Arial" w:hAnsi="Arial"/>
          <w:sz w:val="22"/>
        </w:rPr>
        <w:t>• Existen quejas en estado “PENDIENTE DE CIERRE” con dictamen de conformidad aprobado por el inspector. (RN17, RN22)</w:t>
      </w:r>
    </w:p>
    <w:p>
      <w:pPr>
        <w:spacing w:before="160" w:after="60"/>
      </w:pPr>
      <w:r>
        <w:rPr>
          <w:rFonts w:ascii="Arial" w:hAnsi="Arial"/>
          <w:b/>
          <w:color w:val="224477"/>
          <w:sz w:val="23"/>
        </w:rPr>
        <w:t>2.3 Flujo Normal Básico</w:t>
      </w:r>
    </w:p>
    <w:p>
      <w:pPr>
        <w:spacing w:after="50" w:line="276" w:lineRule="auto"/>
      </w:pPr>
      <w:r>
        <w:rPr>
          <w:rFonts w:ascii="Arial" w:hAnsi="Arial"/>
          <w:sz w:val="22"/>
        </w:rPr>
        <w:t>El funcionario accede a la bandeja de quejas con estado “PENDIENTE DE CIERRE”.</w:t>
      </w:r>
    </w:p>
    <w:p>
      <w:pPr>
        <w:spacing w:after="50" w:line="276" w:lineRule="auto"/>
      </w:pPr>
      <w:r>
        <w:rPr>
          <w:rFonts w:ascii="Arial" w:hAnsi="Arial"/>
          <w:sz w:val="22"/>
        </w:rPr>
        <w:t>El sistema muestra la lista de quejas pendientes de cierre administrativo.</w:t>
      </w:r>
    </w:p>
    <w:p>
      <w:pPr>
        <w:spacing w:after="50" w:line="276" w:lineRule="auto"/>
      </w:pPr>
      <w:r>
        <w:rPr>
          <w:rFonts w:ascii="Arial" w:hAnsi="Arial"/>
          <w:sz w:val="22"/>
        </w:rPr>
        <w:t>El funcionario selecciona un caso para abrir el expediente completo.</w:t>
      </w:r>
    </w:p>
    <w:p>
      <w:pPr>
        <w:spacing w:after="50" w:line="276" w:lineRule="auto"/>
      </w:pPr>
      <w:r>
        <w:rPr>
          <w:rFonts w:ascii="Arial" w:hAnsi="Arial"/>
          <w:sz w:val="22"/>
        </w:rPr>
        <w:t>El sistema despliega el expediente integral estructurado: (RN17, RN30)</w:t>
      </w:r>
    </w:p>
    <w:p>
      <w:pPr>
        <w:spacing w:after="50" w:line="276" w:lineRule="auto"/>
        <w:ind w:left="432"/>
      </w:pPr>
      <w:r>
        <w:rPr>
          <w:rFonts w:ascii="Arial" w:hAnsi="Arial"/>
          <w:sz w:val="21"/>
        </w:rPr>
        <w:t>- Datos del reporte original del ciudadano y fotos de inicio</w:t>
      </w:r>
    </w:p>
    <w:p>
      <w:pPr>
        <w:spacing w:after="50" w:line="276" w:lineRule="auto"/>
        <w:ind w:left="432"/>
      </w:pPr>
      <w:r>
        <w:rPr>
          <w:rFonts w:ascii="Arial" w:hAnsi="Arial"/>
          <w:sz w:val="21"/>
        </w:rPr>
        <w:t>- Fase 1: Informe de inspección inicial del inspector de campo y fotos de constatación (RN19)</w:t>
      </w:r>
    </w:p>
    <w:p>
      <w:pPr>
        <w:spacing w:after="50" w:line="276" w:lineRule="auto"/>
        <w:ind w:left="432"/>
      </w:pPr>
      <w:r>
        <w:rPr>
          <w:rFonts w:ascii="Arial" w:hAnsi="Arial"/>
          <w:sz w:val="21"/>
        </w:rPr>
        <w:t>- Fase Técnica: Informe de solución de la cuadrilla técnica, insumos usados y fotos de reparación (RN25)</w:t>
      </w:r>
    </w:p>
    <w:p>
      <w:pPr>
        <w:spacing w:after="50" w:line="276" w:lineRule="auto"/>
        <w:ind w:left="432"/>
      </w:pPr>
      <w:r>
        <w:rPr>
          <w:rFonts w:ascii="Arial" w:hAnsi="Arial"/>
          <w:sz w:val="21"/>
        </w:rPr>
        <w:t>- Fase 2: Dictamen de conformidad y visto bueno de calidad emitido por el inspector de campo (RN22)</w:t>
      </w:r>
    </w:p>
    <w:p>
      <w:pPr>
        <w:spacing w:after="50" w:line="276" w:lineRule="auto"/>
        <w:ind w:left="432"/>
      </w:pPr>
      <w:r>
        <w:rPr>
          <w:rFonts w:ascii="Arial" w:hAnsi="Arial"/>
          <w:sz w:val="21"/>
        </w:rPr>
        <w:t>- Campo Conclusiones Administrativas de Cierre (RN17)</w:t>
      </w:r>
    </w:p>
    <w:p>
      <w:pPr>
        <w:spacing w:after="50" w:line="276" w:lineRule="auto"/>
        <w:ind w:left="432"/>
      </w:pPr>
      <w:r>
        <w:rPr>
          <w:rFonts w:ascii="Arial" w:hAnsi="Arial"/>
          <w:sz w:val="21"/>
        </w:rPr>
        <w:t>- Botón Aprobar Resolución y Cerrar Queja (FA01)</w:t>
      </w:r>
    </w:p>
    <w:p>
      <w:pPr>
        <w:spacing w:after="50" w:line="276" w:lineRule="auto"/>
        <w:ind w:left="432"/>
      </w:pPr>
      <w:r>
        <w:rPr>
          <w:rFonts w:ascii="Arial" w:hAnsi="Arial"/>
          <w:sz w:val="21"/>
        </w:rPr>
        <w:t>- Botón Devolver por Inconsistencias (FA02)</w:t>
      </w:r>
    </w:p>
    <w:p>
      <w:pPr>
        <w:spacing w:after="50" w:line="276" w:lineRule="auto"/>
      </w:pPr>
      <w:r>
        <w:rPr>
          <w:rFonts w:ascii="Arial" w:hAnsi="Arial"/>
          <w:sz w:val="22"/>
        </w:rPr>
        <w:t>El funcionario verifica la integridad de los informes técnicos y el visto bueno de campo.</w:t>
      </w:r>
    </w:p>
    <w:p>
      <w:pPr>
        <w:spacing w:after="50" w:line="276" w:lineRule="auto"/>
      </w:pPr>
      <w:r>
        <w:rPr>
          <w:rFonts w:ascii="Arial" w:hAnsi="Arial"/>
          <w:sz w:val="22"/>
        </w:rPr>
        <w:t>El funcionario redacta las conclusiones administrativas del expediente. (RN17)</w:t>
      </w:r>
    </w:p>
    <w:p>
      <w:pPr>
        <w:spacing w:after="50" w:line="276" w:lineRule="auto"/>
      </w:pPr>
      <w:r>
        <w:rPr>
          <w:rFonts w:ascii="Arial" w:hAnsi="Arial"/>
          <w:sz w:val="22"/>
        </w:rPr>
        <w:t>El funcionario presiona el botón Aprobar Resolución y Cerrar Queja. (FA01)</w:t>
      </w:r>
    </w:p>
    <w:p>
      <w:pPr>
        <w:spacing w:after="50" w:line="276" w:lineRule="auto"/>
      </w:pPr>
      <w:r>
        <w:rPr>
          <w:rFonts w:ascii="Arial" w:hAnsi="Arial"/>
          <w:sz w:val="22"/>
        </w:rPr>
        <w:t>El sistema actualiza el estado de la queja a “SOLUCIONADA / CERRADA”.</w:t>
      </w:r>
    </w:p>
    <w:p>
      <w:pPr>
        <w:spacing w:after="50" w:line="276" w:lineRule="auto"/>
      </w:pPr>
      <w:r>
        <w:rPr>
          <w:rFonts w:ascii="Arial" w:hAnsi="Arial"/>
          <w:sz w:val="22"/>
        </w:rPr>
        <w:t>El sistema genera el acta digital de cierre con código de verificación.</w:t>
      </w:r>
    </w:p>
    <w:p>
      <w:pPr>
        <w:spacing w:after="50" w:line="276" w:lineRule="auto"/>
      </w:pPr>
      <w:r>
        <w:rPr>
          <w:rFonts w:ascii="Arial" w:hAnsi="Arial"/>
          <w:sz w:val="22"/>
        </w:rPr>
        <w:t>El sistema emite una notificación por correo electrónico y en el portal al ciudadano con el dictamen de solución.</w:t>
      </w:r>
    </w:p>
    <w:p>
      <w:pPr>
        <w:spacing w:after="50" w:line="276" w:lineRule="auto"/>
      </w:pPr>
      <w:r>
        <w:rPr>
          <w:rFonts w:ascii="Arial" w:hAnsi="Arial"/>
          <w:sz w:val="22"/>
        </w:rPr>
        <w:t>El sistema registra el cierre en la bitácora de auditoría. (RN30)</w:t>
      </w:r>
    </w:p>
    <w:p>
      <w:pPr>
        <w:spacing w:after="50" w:line="276" w:lineRule="auto"/>
      </w:pPr>
      <w:r>
        <w:rPr>
          <w:rFonts w:ascii="Arial" w:hAnsi="Arial"/>
          <w:sz w:val="22"/>
        </w:rPr>
        <w:t>El sistema muestra el mensaje de confirmación: “El expediente QUE-2026-XXXX ha sido cerrado formalmente como SOLUCIONADA.”</w:t>
      </w:r>
    </w:p>
    <w:p>
      <w:pPr>
        <w:spacing w:after="50" w:line="276" w:lineRule="auto" w:before="80"/>
      </w:pPr>
      <w:r>
        <w:rPr>
          <w:rFonts w:ascii="Arial" w:hAnsi="Arial"/>
          <w:b/>
          <w:color w:val="005599"/>
          <w:sz w:val="22"/>
        </w:rPr>
        <w:t>Fin de caso de uso.</w:t>
      </w:r>
    </w:p>
    <w:p>
      <w:pPr>
        <w:spacing w:before="160" w:after="60"/>
      </w:pPr>
      <w:r>
        <w:rPr>
          <w:rFonts w:ascii="Arial" w:hAnsi="Arial"/>
          <w:b/>
          <w:color w:val="224477"/>
          <w:sz w:val="23"/>
        </w:rPr>
        <w:t>2.4 Flujos Alternos.</w:t>
      </w:r>
    </w:p>
    <w:p>
      <w:pPr>
        <w:spacing w:before="80" w:after="40"/>
      </w:pPr>
      <w:r>
        <w:rPr>
          <w:rFonts w:ascii="Arial" w:hAnsi="Arial"/>
          <w:b/>
          <w:color w:val="992222"/>
          <w:sz w:val="22"/>
        </w:rPr>
        <w:t>FA01: Conclusiones administrativas vacías:</w:t>
      </w:r>
    </w:p>
    <w:p>
      <w:pPr>
        <w:spacing w:after="40" w:line="276" w:lineRule="auto"/>
        <w:ind w:left="288"/>
      </w:pPr>
      <w:r>
        <w:rPr>
          <w:rFonts w:ascii="Arial" w:hAnsi="Arial"/>
          <w:sz w:val="21"/>
        </w:rPr>
        <w:t>El sistema muestra el mensaje: “Debe ingresar las conclusiones administrativas de cierre del expediente.”</w:t>
      </w:r>
    </w:p>
    <w:p>
      <w:pPr>
        <w:spacing w:after="40" w:line="276" w:lineRule="auto"/>
        <w:ind w:left="288"/>
      </w:pPr>
      <w:r>
        <w:rPr>
          <w:rFonts w:ascii="Arial" w:hAnsi="Arial"/>
          <w:i/>
          <w:sz w:val="21"/>
        </w:rPr>
        <w:t>El sistema retorna al paso 5 del Flujo Normal Básico.</w:t>
      </w:r>
    </w:p>
    <w:p>
      <w:pPr>
        <w:spacing w:after="40" w:line="276" w:lineRule="auto"/>
        <w:ind w:left="288"/>
      </w:pPr>
      <w:r>
        <w:rPr>
          <w:rFonts w:ascii="Arial" w:hAnsi="Arial"/>
          <w:i/>
          <w:sz w:val="21"/>
        </w:rPr>
        <w:t>Fin del flujo alterno.</w:t>
      </w:r>
    </w:p>
    <w:p>
      <w:pPr>
        <w:spacing w:before="80" w:after="40"/>
      </w:pPr>
      <w:r>
        <w:rPr>
          <w:rFonts w:ascii="Arial" w:hAnsi="Arial"/>
          <w:b/>
          <w:color w:val="992222"/>
          <w:sz w:val="22"/>
        </w:rPr>
        <w:t>FA02: El funcionario detecta inconsistencias documentales (Devolución a Inspector):</w:t>
      </w:r>
    </w:p>
    <w:p>
      <w:pPr>
        <w:spacing w:after="40" w:line="276" w:lineRule="auto"/>
        <w:ind w:left="288"/>
      </w:pPr>
      <w:r>
        <w:rPr>
          <w:rFonts w:ascii="Arial" w:hAnsi="Arial"/>
          <w:sz w:val="21"/>
        </w:rPr>
        <w:t>El funcionario presiona el botón “Devolver por Inconsistencias”.</w:t>
      </w:r>
    </w:p>
    <w:p>
      <w:pPr>
        <w:spacing w:after="40" w:line="276" w:lineRule="auto"/>
        <w:ind w:left="288"/>
      </w:pPr>
      <w:r>
        <w:rPr>
          <w:rFonts w:ascii="Arial" w:hAnsi="Arial"/>
          <w:sz w:val="21"/>
        </w:rPr>
        <w:t>El sistema solicita las observaciones de inconsistencia en un campo de texto obligatorio.</w:t>
      </w:r>
    </w:p>
    <w:p>
      <w:pPr>
        <w:spacing w:after="40" w:line="276" w:lineRule="auto"/>
        <w:ind w:left="288"/>
      </w:pPr>
      <w:r>
        <w:rPr>
          <w:rFonts w:ascii="Arial" w:hAnsi="Arial"/>
          <w:sz w:val="21"/>
        </w:rPr>
        <w:t>El funcionario ingresa las observaciones y confirma.</w:t>
      </w:r>
    </w:p>
    <w:p>
      <w:pPr>
        <w:spacing w:after="40" w:line="276" w:lineRule="auto"/>
        <w:ind w:left="288"/>
      </w:pPr>
      <w:r>
        <w:rPr>
          <w:rFonts w:ascii="Arial" w:hAnsi="Arial"/>
          <w:sz w:val="21"/>
        </w:rPr>
        <w:t>El sistema cambia el estado a “EN VALIDACIÓN DE REPARACIÓN” y reasigna el caso al inspector para subsanar los informes.</w:t>
      </w:r>
    </w:p>
    <w:p>
      <w:pPr>
        <w:spacing w:after="40" w:line="276" w:lineRule="auto"/>
        <w:ind w:left="288"/>
      </w:pPr>
      <w:r>
        <w:rPr>
          <w:rFonts w:ascii="Arial" w:hAnsi="Arial"/>
          <w:sz w:val="21"/>
        </w:rPr>
        <w:t>El sistema registra la devolución en la bitácora de auditoría. (RN30)</w:t>
      </w:r>
    </w:p>
    <w:p>
      <w:pPr>
        <w:spacing w:after="40" w:line="276" w:lineRule="auto"/>
        <w:ind w:left="288"/>
      </w:pPr>
      <w:r>
        <w:rPr>
          <w:rFonts w:ascii="Arial" w:hAnsi="Arial"/>
          <w:sz w:val="21"/>
        </w:rPr>
        <w:t>El sistema muestra el mensaje: “El caso ha sido devuelto al inspector para aclaración técnica.”</w:t>
      </w:r>
    </w:p>
    <w:p>
      <w:pPr>
        <w:spacing w:after="40" w:line="276" w:lineRule="auto"/>
        <w:ind w:left="288"/>
      </w:pPr>
      <w:r>
        <w:rPr>
          <w:rFonts w:ascii="Arial" w:hAnsi="Arial"/>
          <w:i/>
          <w:sz w:val="21"/>
        </w:rPr>
        <w:t>Fin del caso de uso.</w:t>
      </w:r>
    </w:p>
    <w:p>
      <w:pPr>
        <w:spacing w:before="160" w:after="60"/>
      </w:pPr>
      <w:r>
        <w:rPr>
          <w:rFonts w:ascii="Arial" w:hAnsi="Arial"/>
          <w:b/>
          <w:color w:val="224477"/>
          <w:sz w:val="23"/>
        </w:rPr>
        <w:t>2.5 Poscondiciones.</w:t>
      </w:r>
    </w:p>
    <w:p>
      <w:pPr>
        <w:spacing w:after="40" w:line="276" w:lineRule="auto"/>
        <w:ind w:left="288"/>
      </w:pPr>
      <w:r>
        <w:rPr>
          <w:rFonts w:ascii="Arial" w:hAnsi="Arial"/>
          <w:sz w:val="22"/>
        </w:rPr>
        <w:t>• La queja queda en estado “SOLUCIONADA / CERRADA” con acta digital de cierre generada.</w:t>
      </w:r>
    </w:p>
    <w:p>
      <w:r>
        <w:t>• Si existían quejas hijas vinculadas (agravamiento o reincidencia), estas se actualizan a estado cerrado en cascada.</w:t>
      </w:r>
    </w:p>
    <w:p>
      <w:pPr>
        <w:spacing w:before="160" w:after="60"/>
      </w:pPr>
      <w:r>
        <w:rPr>
          <w:rFonts w:ascii="Arial" w:hAnsi="Arial"/>
          <w:b/>
          <w:color w:val="113366"/>
          <w:sz w:val="25"/>
        </w:rPr>
        <w:t>3. Requerimientos Suplementarios o no Funcionales</w:t>
      </w:r>
    </w:p>
    <w:p>
      <w:pPr>
        <w:spacing w:after="50" w:line="276" w:lineRule="auto"/>
        <w:ind w:left="288"/>
      </w:pPr>
      <w:r>
        <w:rPr>
          <w:rFonts w:ascii="Arial" w:hAnsi="Arial"/>
          <w:sz w:val="22"/>
        </w:rPr>
        <w:t>• Generación automática del acta de cierre en PDF con firma electrónica institucional.</w:t>
      </w:r>
    </w:p>
    <w:p>
      <w:pPr>
        <w:spacing w:before="160" w:after="80"/>
      </w:pPr>
      <w:r>
        <w:rPr>
          <w:rFonts w:ascii="Arial" w:hAnsi="Arial"/>
          <w:b/>
          <w:color w:val="113366"/>
          <w:sz w:val="25"/>
        </w:rPr>
        <w:t>4. Firmas Necesarias</w:t>
      </w:r>
    </w:p>
    <w:tbl>
      <w:tblPr>
        <w:tblW w:type="auto" w:w="0"/>
        <w:jc w:val="center"/>
        <w:tblLook w:firstColumn="1" w:firstRow="1" w:lastColumn="0" w:lastRow="0" w:noHBand="0" w:noVBand="1" w:val="04A0"/>
      </w:tblPr>
      <w:tblGrid>
        <w:gridCol w:w="3120"/>
        <w:gridCol w:w="3120"/>
        <w:gridCol w:w="3120"/>
      </w:tblGrid>
      <w:tr>
        <w:tc>
          <w:tcPr>
            <w:tcW w:type="dxa" w:w="3600"/>
            <w:shd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113366"/>
                <w:sz w:val="20"/>
              </w:rPr>
              <w:t>Persona</w:t>
            </w:r>
          </w:p>
        </w:tc>
        <w:tc>
          <w:tcPr>
            <w:tcW w:type="dxa" w:w="3168"/>
            <w:shd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113366"/>
                <w:sz w:val="20"/>
              </w:rPr>
              <w:t>Sector</w:t>
            </w:r>
          </w:p>
        </w:tc>
        <w:tc>
          <w:tcPr>
            <w:tcW w:type="dxa" w:w="2592"/>
            <w:shd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113366"/>
                <w:sz w:val="20"/>
              </w:rPr>
              <w:t>Firma</w:t>
            </w:r>
          </w:p>
        </w:tc>
      </w:tr>
      <w:tr>
        <w:tc>
          <w:tcPr>
            <w:tcW w:type="dxa" w:w="3600"/>
            <w:tcBorders>
              <w:top w:val="single" w:sz="4" w:space="0" w:color="CCCCCC"/>
              <w:bottom w:val="single" w:sz="4" w:space="0" w:color="CCCCCC"/>
              <w:left w:val="single" w:sz="4" w:space="0" w:color="CCCCCC"/>
              <w:right w:val="single" w:sz="4" w:space="0" w:color="CCCCCC"/>
            </w:tcBorders>
          </w:tcPr>
          <w:p/>
        </w:tc>
        <w:tc>
          <w:tcPr>
            <w:tcW w:type="dxa" w:w="3168"/>
            <w:tcBorders>
              <w:top w:val="single" w:sz="4" w:space="0" w:color="CCCCCC"/>
              <w:bottom w:val="single" w:sz="4" w:space="0" w:color="CCCCCC"/>
              <w:left w:val="single" w:sz="4" w:space="0" w:color="CCCCCC"/>
              <w:right w:val="single" w:sz="4" w:space="0" w:color="CCCCCC"/>
            </w:tcBorders>
          </w:tcPr>
          <w:p/>
        </w:tc>
        <w:tc>
          <w:tcPr>
            <w:tcW w:type="dxa" w:w="2592"/>
            <w:tcBorders>
              <w:top w:val="single" w:sz="4" w:space="0" w:color="CCCCCC"/>
              <w:bottom w:val="single" w:sz="4" w:space="0" w:color="CCCCCC"/>
              <w:left w:val="single" w:sz="4" w:space="0" w:color="CCCCCC"/>
              <w:right w:val="single" w:sz="4" w:space="0" w:color="CCCCCC"/>
            </w:tcBorders>
          </w:tcPr>
          <w:p/>
        </w:tc>
      </w:tr>
      <w:tr>
        <w:tc>
          <w:tcPr>
            <w:tcW w:type="dxa" w:w="3600"/>
            <w:tcBorders>
              <w:top w:val="single" w:sz="4" w:space="0" w:color="CCCCCC"/>
              <w:bottom w:val="single" w:sz="4" w:space="0" w:color="CCCCCC"/>
              <w:left w:val="single" w:sz="4" w:space="0" w:color="CCCCCC"/>
              <w:right w:val="single" w:sz="4" w:space="0" w:color="CCCCCC"/>
            </w:tcBorders>
          </w:tcPr>
          <w:p/>
        </w:tc>
        <w:tc>
          <w:tcPr>
            <w:tcW w:type="dxa" w:w="3168"/>
            <w:tcBorders>
              <w:top w:val="single" w:sz="4" w:space="0" w:color="CCCCCC"/>
              <w:bottom w:val="single" w:sz="4" w:space="0" w:color="CCCCCC"/>
              <w:left w:val="single" w:sz="4" w:space="0" w:color="CCCCCC"/>
              <w:right w:val="single" w:sz="4" w:space="0" w:color="CCCCCC"/>
            </w:tcBorders>
          </w:tcPr>
          <w:p/>
        </w:tc>
        <w:tc>
          <w:tcPr>
            <w:tcW w:type="dxa" w:w="2592"/>
            <w:tcBorders>
              <w:top w:val="single" w:sz="4" w:space="0" w:color="CCCCCC"/>
              <w:bottom w:val="single" w:sz="4" w:space="0" w:color="CCCCCC"/>
              <w:left w:val="single" w:sz="4" w:space="0" w:color="CCCCCC"/>
              <w:right w:val="single" w:sz="4" w:space="0" w:color="CCCCCC"/>
            </w:tcBorders>
          </w:tcPr>
          <w:p/>
        </w:tc>
      </w:tr>
      <w:tr>
        <w:tc>
          <w:tcPr>
            <w:tcW w:type="dxa" w:w="3600"/>
            <w:tcBorders>
              <w:top w:val="single" w:sz="4" w:space="0" w:color="CCCCCC"/>
              <w:bottom w:val="single" w:sz="4" w:space="0" w:color="CCCCCC"/>
              <w:left w:val="single" w:sz="4" w:space="0" w:color="CCCCCC"/>
              <w:right w:val="single" w:sz="4" w:space="0" w:color="CCCCCC"/>
            </w:tcBorders>
          </w:tcPr>
          <w:p/>
        </w:tc>
        <w:tc>
          <w:tcPr>
            <w:tcW w:type="dxa" w:w="3168"/>
            <w:tcBorders>
              <w:top w:val="single" w:sz="4" w:space="0" w:color="CCCCCC"/>
              <w:bottom w:val="single" w:sz="4" w:space="0" w:color="CCCCCC"/>
              <w:left w:val="single" w:sz="4" w:space="0" w:color="CCCCCC"/>
              <w:right w:val="single" w:sz="4" w:space="0" w:color="CCCCCC"/>
            </w:tcBorders>
          </w:tcPr>
          <w:p/>
        </w:tc>
        <w:tc>
          <w:tcPr>
            <w:tcW w:type="dxa" w:w="2592"/>
            <w:tcBorders>
              <w:top w:val="single" w:sz="4" w:space="0" w:color="CCCCCC"/>
              <w:bottom w:val="single" w:sz="4" w:space="0" w:color="CCCCCC"/>
              <w:left w:val="single" w:sz="4" w:space="0" w:color="CCCCCC"/>
              <w:right w:val="single" w:sz="4" w:space="0" w:color="CCCCCC"/>
            </w:tcBorders>
          </w:tcPr>
          <w:p/>
        </w:tc>
      </w:tr>
    </w:tbl>
    <w:p>
      <w:pPr>
        <w:spacing w:after="80"/>
      </w:pPr>
    </w:p>
    <w:p>
      <w:pPr>
        <w:spacing w:before="160" w:after="60"/>
      </w:pPr>
      <w:r>
        <w:rPr>
          <w:rFonts w:ascii="Arial" w:hAnsi="Arial"/>
          <w:b/>
          <w:color w:val="113366"/>
          <w:sz w:val="25"/>
        </w:rPr>
        <w:t>Anexos: Reglas de Negocio</w:t>
      </w:r>
    </w:p>
    <w:p>
      <w:pPr>
        <w:spacing w:after="50" w:line="276" w:lineRule="auto"/>
        <w:ind w:left="288"/>
      </w:pPr>
      <w:r>
        <w:rPr>
          <w:rFonts w:ascii="Arial" w:hAnsi="Arial"/>
          <w:b/>
          <w:color w:val="005599"/>
          <w:sz w:val="21"/>
        </w:rPr>
        <w:t xml:space="preserve">RN13 - Control de Acceso de Funcionarios: </w:t>
      </w:r>
      <w:r>
        <w:rPr>
          <w:rFonts w:ascii="Arial" w:hAnsi="Arial"/>
          <w:sz w:val="21"/>
        </w:rPr>
        <w:t>Rol exclusivo para validación y cierre administrativo.</w:t>
      </w:r>
    </w:p>
    <w:p>
      <w:pPr>
        <w:spacing w:after="50" w:line="276" w:lineRule="auto"/>
        <w:ind w:left="288"/>
      </w:pPr>
      <w:r>
        <w:rPr>
          <w:rFonts w:ascii="Arial" w:hAnsi="Arial"/>
          <w:b/>
          <w:color w:val="005599"/>
          <w:sz w:val="21"/>
        </w:rPr>
        <w:t xml:space="preserve">RN17 - Requisitos para el Cierre Administrativo: </w:t>
      </w:r>
      <w:r>
        <w:rPr>
          <w:rFonts w:ascii="Arial" w:hAnsi="Arial"/>
          <w:sz w:val="21"/>
        </w:rPr>
        <w:t>Expediente completo con informe técnico y visto bueno de inspector.</w:t>
      </w:r>
    </w:p>
    <w:p>
      <w:pPr>
        <w:spacing w:after="50" w:line="276" w:lineRule="auto"/>
        <w:ind w:left="288"/>
      </w:pPr>
      <w:r>
        <w:rPr>
          <w:rFonts w:ascii="Arial" w:hAnsi="Arial"/>
          <w:b/>
          <w:color w:val="005599"/>
          <w:sz w:val="21"/>
        </w:rPr>
        <w:t xml:space="preserve">RN22 - Dictamen de Conformidad: </w:t>
      </w:r>
      <w:r>
        <w:rPr>
          <w:rFonts w:ascii="Arial" w:hAnsi="Arial"/>
          <w:sz w:val="21"/>
        </w:rPr>
        <w:t>Visto bueno obligatorio previo al cierre formal.</w:t>
      </w:r>
    </w:p>
    <w:p>
      <w:pPr>
        <w:spacing w:after="50" w:line="276" w:lineRule="auto"/>
        <w:ind w:left="288"/>
      </w:pPr>
      <w:r>
        <w:rPr>
          <w:rFonts w:ascii="Arial" w:hAnsi="Arial"/>
          <w:b/>
          <w:color w:val="005599"/>
          <w:sz w:val="21"/>
        </w:rPr>
        <w:t xml:space="preserve">RN30 - Bitácora de Auditoría: </w:t>
      </w:r>
      <w:r>
        <w:rPr>
          <w:rFonts w:ascii="Arial" w:hAnsi="Arial"/>
          <w:sz w:val="21"/>
        </w:rPr>
        <w:t>Registro de cierre y acta institucional inmutable.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