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color w:val="113366"/>
          <w:sz w:val="25"/>
        </w:rPr>
        <w:t>1. Introducción.</w:t>
      </w:r>
    </w:p>
    <w:p>
      <w:pPr>
        <w:spacing w:after="80" w:line="276" w:lineRule="auto"/>
      </w:pPr>
      <w:r>
        <w:rPr>
          <w:rFonts w:ascii="Arial" w:hAnsi="Arial"/>
          <w:sz w:val="22"/>
        </w:rPr>
        <w:t>El presente caso de uso describe los pasos para que un Especialista Técnico o Jefe de Cuadrilla consulte la cola de órdenes de trabajo asignadas a su dependencia técnica, ordenadas prioritariamente por el volumen de demanda comunitaria y gravedad técnica.</w:t>
      </w:r>
    </w:p>
    <w:p>
      <w:pPr>
        <w:spacing w:before="120" w:after="60"/>
      </w:pPr>
      <w:r>
        <w:rPr>
          <w:rFonts w:ascii="Arial" w:hAnsi="Arial"/>
          <w:b/>
          <w:color w:val="113366"/>
          <w:sz w:val="25"/>
        </w:rPr>
        <w:t>Objetivo.</w:t>
      </w:r>
    </w:p>
    <w:p>
      <w:pPr>
        <w:spacing w:after="80" w:line="276" w:lineRule="auto"/>
      </w:pPr>
      <w:r>
        <w:rPr>
          <w:rFonts w:ascii="Arial" w:hAnsi="Arial"/>
          <w:sz w:val="22"/>
        </w:rPr>
        <w:t>Visualizar y organizar las órdenes de reparación técnica pendientes de ejecución e historial de obras concluidas.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2. Definición Caso de Uso</w:t>
      </w:r>
    </w:p>
    <w:p>
      <w:pPr>
        <w:spacing w:before="80" w:after="60"/>
      </w:pPr>
      <w:r>
        <w:rPr>
          <w:rFonts w:ascii="Arial" w:hAnsi="Arial"/>
          <w:b/>
          <w:color w:val="224477"/>
          <w:sz w:val="23"/>
        </w:rPr>
        <w:t>2.1 Actores.</w:t>
      </w:r>
    </w:p>
    <w:p>
      <w:pPr>
        <w:spacing w:after="40" w:line="276" w:lineRule="auto"/>
      </w:pPr>
      <w:r>
        <w:rPr>
          <w:rFonts w:ascii="Arial" w:hAnsi="Arial"/>
          <w:sz w:val="22"/>
        </w:rPr>
        <w:t>Especialista Técnico llamaremos Usuario.</w:t>
      </w:r>
    </w:p>
    <w:p>
      <w:pPr>
        <w:spacing w:after="80" w:line="276" w:lineRule="auto"/>
      </w:pPr>
      <w:r>
        <w:rPr>
          <w:rFonts w:ascii="Arial" w:hAnsi="Arial"/>
          <w:sz w:val="22"/>
        </w:rPr>
        <w:t>Portal del Sistema de Gestión de Quejas de la Municipalidad llamaremos Sistema</w:t>
      </w:r>
    </w:p>
    <w:p>
      <w:pPr>
        <w:spacing w:before="120" w:after="60"/>
      </w:pPr>
      <w:r>
        <w:rPr>
          <w:rFonts w:ascii="Arial" w:hAnsi="Arial"/>
          <w:b/>
          <w:color w:val="224477"/>
          <w:sz w:val="23"/>
        </w:rPr>
        <w:t>2.2 Precondiciones.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usuario se encuentra autenticado con rol de Especialista Técnico o Cuadrilla Operativa.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2.3 Flujo Normal Básico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accede a la sección “Mis Órdenes de Trabajo”.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consulta las órdenes de trabajo asignadas a la cuadrilla y despliega la interfaz de gestión operativa: (RN24)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Pestaña “Órdenes Pendientes” (Casos en estado “EN REPARACIÓN TÉCNICA”) (RN24)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Pestaña “Historial de Reparaciones” (Casos concluidos por la cuadrilla)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Filtro por Rango de Fechas (RN28)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Cola de trabajo ordenada automáticamente por Nivel de Prioridad de Demanda (Urgente &gt; Alta &gt; Media &gt; Baja) y marcas de re-trabajo (RN14, RN23, RN24)</w:t>
      </w:r>
    </w:p>
    <w:p>
      <w:pPr>
        <w:spacing w:after="50" w:line="276" w:lineRule="auto"/>
        <w:ind w:left="432"/>
      </w:pPr>
      <w:r>
        <w:rPr>
          <w:rFonts w:ascii="Arial" w:hAnsi="Arial"/>
          <w:sz w:val="21"/>
        </w:rPr>
        <w:t>- Tabla con columnas: No. Orden, Correlativo, Categoría, Dirección exacta, Prioridad, Inspector Asignante y Estado Operativo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selecciona una orden de trabajo pendiente.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muestra la ficha técnica detallada: diagnóstico del inspector, fotos del daño inicial y materiales/maquinaria sugerida.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especialista presiona “Marcar en Ejecución”.</w:t>
      </w:r>
    </w:p>
    <w:p>
      <w:pPr>
        <w:spacing w:after="50" w:line="276" w:lineRule="auto"/>
      </w:pPr>
      <w:r>
        <w:rPr>
          <w:rFonts w:ascii="Arial" w:hAnsi="Arial"/>
          <w:sz w:val="22"/>
        </w:rPr>
        <w:t>El sistema actualiza el estado operativo interno a “En Proceso de Reparación” y habilita la redacción del informe técnico (CU13).</w:t>
      </w:r>
    </w:p>
    <w:p>
      <w:pPr>
        <w:spacing w:after="50" w:line="276" w:lineRule="auto" w:before="80"/>
      </w:pPr>
      <w:r>
        <w:rPr>
          <w:rFonts w:ascii="Arial" w:hAnsi="Arial"/>
          <w:b/>
          <w:color w:val="005599"/>
          <w:sz w:val="22"/>
        </w:rPr>
        <w:t>Fin de caso de uso.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2.4 Flujos Alternos.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FA01: No hay órdenes de trabajo asignadas: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sistema muestra el mensaje informativo: “No cuenta con órdenes de trabajo asignadas pendientes de atender.”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FA02: Filtrar órdenes por categoría: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especialista selecciona una categoría específica. El sistema actualiza la cola mostrando las órdenes de esa categoría.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Retorno al paso 3 del Flujo Normal Básico.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80" w:after="40"/>
      </w:pPr>
      <w:r>
        <w:rPr>
          <w:rFonts w:ascii="Arial" w:hAnsi="Arial"/>
          <w:b/>
          <w:color w:val="992222"/>
          <w:sz w:val="22"/>
        </w:rPr>
        <w:t>FA03: Consultar historial de reparaciones concluidas:</w:t>
      </w:r>
    </w:p>
    <w:p>
      <w:pPr>
        <w:spacing w:after="40" w:line="276" w:lineRule="auto"/>
        <w:ind w:left="288"/>
      </w:pPr>
      <w:r>
        <w:rPr>
          <w:rFonts w:ascii="Arial" w:hAnsi="Arial"/>
          <w:sz w:val="21"/>
        </w:rPr>
        <w:t>El especialista selecciona la pestaña “Historial de Reparaciones”. El sistema muestra el registro de todas las obras concluidas con fecha de entrega y dictamen de conformidad del inspector.</w:t>
      </w:r>
    </w:p>
    <w:p>
      <w:pPr>
        <w:spacing w:after="40" w:line="276" w:lineRule="auto"/>
        <w:ind w:left="288"/>
      </w:pPr>
      <w:r>
        <w:rPr>
          <w:rFonts w:ascii="Arial" w:hAnsi="Arial"/>
          <w:i/>
          <w:sz w:val="21"/>
        </w:rPr>
        <w:t>Fin del flujo alterno.</w:t>
      </w:r>
    </w:p>
    <w:p>
      <w:pPr>
        <w:spacing w:before="160" w:after="60"/>
      </w:pPr>
      <w:r>
        <w:rPr>
          <w:rFonts w:ascii="Arial" w:hAnsi="Arial"/>
          <w:b/>
          <w:color w:val="224477"/>
          <w:sz w:val="23"/>
        </w:rPr>
        <w:t>2.5 Poscondiciones.</w:t>
      </w:r>
    </w:p>
    <w:p>
      <w:pPr>
        <w:spacing w:after="40" w:line="276" w:lineRule="auto"/>
        <w:ind w:left="288"/>
      </w:pPr>
      <w:r>
        <w:rPr>
          <w:rFonts w:ascii="Arial" w:hAnsi="Arial"/>
          <w:sz w:val="22"/>
        </w:rPr>
        <w:t>• El especialista visualiza sus órdenes y marca la tarea en ejecución para acudir al sitio.</w:t>
      </w: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3. Requerimientos Suplementarios o no Funcionales</w:t>
      </w:r>
    </w:p>
    <w:p>
      <w:pPr>
        <w:spacing w:after="50" w:line="276" w:lineRule="auto"/>
        <w:ind w:left="288"/>
      </w:pPr>
      <w:r>
        <w:rPr>
          <w:rFonts w:ascii="Arial" w:hAnsi="Arial"/>
          <w:sz w:val="22"/>
        </w:rPr>
        <w:t>• Acceso optimizado para dispositivos móviles en terreno.</w:t>
      </w:r>
    </w:p>
    <w:p>
      <w:pPr>
        <w:spacing w:before="160" w:after="80"/>
      </w:pPr>
      <w:r>
        <w:rPr>
          <w:rFonts w:ascii="Arial" w:hAnsi="Arial"/>
          <w:b/>
          <w:color w:val="113366"/>
          <w:sz w:val="25"/>
        </w:rPr>
        <w:t>4. Firmas Necesarias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Persona</w:t>
            </w:r>
          </w:p>
        </w:tc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Sector</w:t>
            </w:r>
          </w:p>
        </w:tc>
        <w:tc>
          <w:tcPr>
            <w:tcW w:type="dxa" w:w="2592"/>
            <w:shd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13366"/>
                <w:sz w:val="20"/>
              </w:rPr>
              <w:t>Firma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360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  <w:tc>
          <w:tcPr>
            <w:tcW w:type="dxa" w:w="259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/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13366"/>
          <w:sz w:val="25"/>
        </w:rPr>
        <w:t>Anexos: Reglas de Negocio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RN14 - Priorización por Demanda: </w:t>
      </w:r>
      <w:r>
        <w:rPr>
          <w:rFonts w:ascii="Arial" w:hAnsi="Arial"/>
          <w:sz w:val="21"/>
        </w:rPr>
        <w:t>Ordenamiento de la cola por severidad y acumulación comunitaria.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RN23 - Protocolo de Re-trabajo: </w:t>
      </w:r>
      <w:r>
        <w:rPr>
          <w:rFonts w:ascii="Arial" w:hAnsi="Arial"/>
          <w:sz w:val="21"/>
        </w:rPr>
        <w:t>Órdenes devueltas por el inspector aparecen marcadas con prioridad máxima.</w:t>
      </w:r>
    </w:p>
    <w:p>
      <w:pPr>
        <w:spacing w:after="50" w:line="276" w:lineRule="auto"/>
        <w:ind w:left="288"/>
      </w:pPr>
      <w:r>
        <w:rPr>
          <w:rFonts w:ascii="Arial" w:hAnsi="Arial"/>
          <w:b/>
          <w:color w:val="005599"/>
          <w:sz w:val="21"/>
        </w:rPr>
        <w:t xml:space="preserve">RN24 - Prioridad Operativa de Cuadrillas: </w:t>
      </w:r>
      <w:r>
        <w:rPr>
          <w:rFonts w:ascii="Arial" w:hAnsi="Arial"/>
          <w:sz w:val="21"/>
        </w:rPr>
        <w:t>Despacho secuencial según urgencia institucional.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