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Arial" w:hAnsi="Arial"/>
          <w:b/>
          <w:color w:val="113366"/>
          <w:sz w:val="25"/>
        </w:rPr>
        <w:t>1. Introducción.</w:t>
      </w:r>
    </w:p>
    <w:p>
      <w:pPr>
        <w:spacing w:after="80" w:line="276" w:lineRule="auto"/>
      </w:pPr>
      <w:r>
        <w:rPr>
          <w:rFonts w:ascii="Arial" w:hAnsi="Arial"/>
          <w:sz w:val="22"/>
        </w:rPr>
        <w:t>El presente caso de uso describe los pasos requeridos para que un Funcionario Municipal acceda a la bandeja general de quejas institucionales, monitoree las solicitudes entrantes y audite el historial de quejas atendidas mediante filtros multicriterio.</w:t>
      </w:r>
    </w:p>
    <w:p>
      <w:pPr>
        <w:spacing w:before="120" w:after="60"/>
      </w:pPr>
      <w:r>
        <w:rPr>
          <w:rFonts w:ascii="Arial" w:hAnsi="Arial"/>
          <w:b/>
          <w:color w:val="113366"/>
          <w:sz w:val="25"/>
        </w:rPr>
        <w:t>Objetivo.</w:t>
      </w:r>
    </w:p>
    <w:p>
      <w:pPr>
        <w:spacing w:after="80" w:line="276" w:lineRule="auto"/>
      </w:pPr>
      <w:r>
        <w:rPr>
          <w:rFonts w:ascii="Arial" w:hAnsi="Arial"/>
          <w:sz w:val="22"/>
        </w:rPr>
        <w:t>Proveer una bandeja centralizada de monitoreo y auditoría de quejas municipales para el control de gestión institucional.</w:t>
      </w:r>
    </w:p>
    <w:p>
      <w:pPr>
        <w:spacing w:before="160" w:after="80"/>
      </w:pPr>
      <w:r>
        <w:rPr>
          <w:rFonts w:ascii="Arial" w:hAnsi="Arial"/>
          <w:b/>
          <w:color w:val="113366"/>
          <w:sz w:val="25"/>
        </w:rPr>
        <w:t>2. Definición Caso de Uso</w:t>
      </w:r>
    </w:p>
    <w:p>
      <w:pPr>
        <w:spacing w:before="80" w:after="60"/>
      </w:pPr>
      <w:r>
        <w:rPr>
          <w:rFonts w:ascii="Arial" w:hAnsi="Arial"/>
          <w:b/>
          <w:color w:val="224477"/>
          <w:sz w:val="23"/>
        </w:rPr>
        <w:t>2.1 Actores.</w:t>
      </w:r>
    </w:p>
    <w:p>
      <w:pPr>
        <w:spacing w:after="40" w:line="276" w:lineRule="auto"/>
      </w:pPr>
      <w:r>
        <w:rPr>
          <w:rFonts w:ascii="Arial" w:hAnsi="Arial"/>
          <w:sz w:val="22"/>
        </w:rPr>
        <w:t>Funcionario Municipal llamaremos Usuario.</w:t>
      </w:r>
    </w:p>
    <w:p>
      <w:pPr>
        <w:spacing w:after="80" w:line="276" w:lineRule="auto"/>
      </w:pPr>
      <w:r>
        <w:rPr>
          <w:rFonts w:ascii="Arial" w:hAnsi="Arial"/>
          <w:sz w:val="22"/>
        </w:rPr>
        <w:t>Portal del Sistema de Gestión de Quejas de la Municipalidad llamaremos Sistema</w:t>
      </w:r>
    </w:p>
    <w:p>
      <w:pPr>
        <w:spacing w:before="120" w:after="60"/>
      </w:pPr>
      <w:r>
        <w:rPr>
          <w:rFonts w:ascii="Arial" w:hAnsi="Arial"/>
          <w:b/>
          <w:color w:val="224477"/>
          <w:sz w:val="23"/>
        </w:rPr>
        <w:t>2.2 Precondiciones.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El usuario se encuentra autenticado con rol de Funcionario Municipal o Administrador. (RN13)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2.3 Flujo Normal Básico</w:t>
      </w:r>
    </w:p>
    <w:p>
      <w:pPr>
        <w:spacing w:after="50" w:line="276" w:lineRule="auto"/>
      </w:pPr>
      <w:r>
        <w:rPr>
          <w:rFonts w:ascii="Arial" w:hAnsi="Arial"/>
          <w:sz w:val="22"/>
        </w:rPr>
        <w:t>El funcionario ingresa a la sección “Catálogo e Historial de Quejas”.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muestra el panel de control con los filtros de búsqueda avanzada y la grilla consolidada de quejas: (RN13, RN28)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Filtro por Rango de Fechas (Fecha Desde y Fecha Hasta) (RN28)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Filtro por Categoría de Queja (Todas, Alumbrado, Drenajes, Vialidad, Residuos, Ornato) (RN07)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Filtro por Estado (Todas, Registrada, En Inspección, En Reparación, En Validación, Solucionada, Rechazada)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Filtro por Nivel de Prioridad de Demanda (Baja, Media, Alta, Urgente) (RN14)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Buscador por Correlativo o DPI del Ciudadano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Botón Buscar (FA01)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Botón Limpiar Filtros (FA02)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Botones de Exportación (PDF y Excel) (FA03)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funcionario ingresa los criterios de búsqueda deseados y presiona el botón Buscar.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valida los parámetros y consulta la base de datos municipal.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despliega los registros coincidentes en una tabla paginada con columnas: Correlativo, Fecha, Ciudadano, Categoría, Dirección, Prioridad por Demanda, Inspector Asignado y Estado Actual.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funcionario selecciona un registro de la tabla para abrir el expediente completo en modo detalle.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muestra la ficha integral del expediente con el historial de actuaciones, dictámenes y fotografías.</w:t>
      </w:r>
    </w:p>
    <w:p>
      <w:pPr>
        <w:spacing w:after="50" w:line="276" w:lineRule="auto" w:before="80"/>
      </w:pPr>
      <w:r>
        <w:rPr>
          <w:rFonts w:ascii="Arial" w:hAnsi="Arial"/>
          <w:b/>
          <w:color w:val="005599"/>
          <w:sz w:val="22"/>
        </w:rPr>
        <w:t>Fin de caso de uso.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2.4 Flujos Alternos.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FA01: No se encontraron quejas con los filtros aplicados: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el mensaje: “No se encontraron registros que coincidan con los criterios de búsqueda ingresados.”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El sistema retorna al paso 2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FA02: Limpiar filtros: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funcionario presiona el botón “Limpiar”.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restablece los filtros por defecto y recarga la bandeja general de quejas.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Retorno al paso 2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FA03: Exportar catálogo filtrado: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funcionario presiona el botón “Exportar a Excel” o “Generar PDF”.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genera el archivo consolidado con los registros filtrados y lo entrega para su descarga.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2.5 Poscondiciones.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El funcionario visualiza el listado de quejas filtrado o el expediente detallado para su control de gestión.</w:t>
      </w:r>
    </w:p>
    <w:p>
      <w:pPr>
        <w:spacing w:before="160" w:after="60"/>
      </w:pPr>
      <w:r>
        <w:rPr>
          <w:rFonts w:ascii="Arial" w:hAnsi="Arial"/>
          <w:b/>
          <w:color w:val="113366"/>
          <w:sz w:val="25"/>
        </w:rPr>
        <w:t>3. Requerimientos Suplementarios o no Funcionales</w:t>
      </w:r>
    </w:p>
    <w:p>
      <w:pPr>
        <w:spacing w:after="50" w:line="276" w:lineRule="auto"/>
        <w:ind w:left="288"/>
      </w:pPr>
      <w:r>
        <w:rPr>
          <w:rFonts w:ascii="Arial" w:hAnsi="Arial"/>
          <w:sz w:val="22"/>
        </w:rPr>
        <w:t>• La tabla debe incluir paginación dinámica de 20 registros por página y ordenamiento por columnas.</w:t>
      </w:r>
    </w:p>
    <w:p>
      <w:pPr>
        <w:spacing w:after="50" w:line="276" w:lineRule="auto"/>
        <w:ind w:left="288"/>
      </w:pPr>
      <w:r>
        <w:rPr>
          <w:rFonts w:ascii="Arial" w:hAnsi="Arial"/>
          <w:sz w:val="22"/>
        </w:rPr>
        <w:t>• El tiempo de respuesta en búsquedas complejas no debe superar los 2 segundos.</w:t>
      </w:r>
    </w:p>
    <w:p>
      <w:pPr>
        <w:spacing w:before="160" w:after="80"/>
      </w:pPr>
      <w:r>
        <w:rPr>
          <w:rFonts w:ascii="Arial" w:hAnsi="Arial"/>
          <w:b/>
          <w:color w:val="113366"/>
          <w:sz w:val="25"/>
        </w:rPr>
        <w:t>4. Firmas Necesarias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Persona</w:t>
            </w:r>
          </w:p>
        </w:tc>
        <w:tc>
          <w:tcPr>
            <w:tcW w:type="dxa" w:w="3168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Sector</w:t>
            </w:r>
          </w:p>
        </w:tc>
        <w:tc>
          <w:tcPr>
            <w:tcW w:type="dxa" w:w="2592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Firma</w:t>
            </w:r>
          </w:p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</w:tbl>
    <w:p>
      <w:pPr>
        <w:spacing w:after="80"/>
      </w:pPr>
    </w:p>
    <w:p>
      <w:pPr>
        <w:spacing w:before="160" w:after="60"/>
      </w:pPr>
      <w:r>
        <w:rPr>
          <w:rFonts w:ascii="Arial" w:hAnsi="Arial"/>
          <w:b/>
          <w:color w:val="113366"/>
          <w:sz w:val="25"/>
        </w:rPr>
        <w:t>Anexos: Reglas de Negocio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RN07 - Categorías Soportadas: </w:t>
      </w:r>
      <w:r>
        <w:rPr>
          <w:rFonts w:ascii="Arial" w:hAnsi="Arial"/>
          <w:sz w:val="21"/>
        </w:rPr>
        <w:t>Filtros alineados a las 5 áreas municipales autorizadas.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RN13 - Control de Acceso: </w:t>
      </w:r>
      <w:r>
        <w:rPr>
          <w:rFonts w:ascii="Arial" w:hAnsi="Arial"/>
          <w:sz w:val="21"/>
        </w:rPr>
        <w:t>Exclusivo para Funcionarios y Administradores.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RN14 - Priorización por Demanda: </w:t>
      </w:r>
      <w:r>
        <w:rPr>
          <w:rFonts w:ascii="Arial" w:hAnsi="Arial"/>
          <w:sz w:val="21"/>
        </w:rPr>
        <w:t>Indicador visual de la demanda acumulada de cada sector.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RN28 - Estándar de Reportería y Filtros: </w:t>
      </w:r>
      <w:r>
        <w:rPr>
          <w:rFonts w:ascii="Arial" w:hAnsi="Arial"/>
          <w:sz w:val="21"/>
        </w:rPr>
        <w:t>Rango de fechas y exportación a PDF/Excel.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